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2600" w:hRule="atLeast"/>
        </w:trPr>
        <w:tc>
          <w:tcPr>
            <w:tcW w:type="dxa" w:w="9638"/>
            <w:tcBorders>
              <w:top w:val="none" w:color="070A13" w:sz="0"/>
              <w:left w:val="none" w:color="070A13" w:sz="0"/>
              <w:bottom w:val="none" w:color="070A13" w:sz="0"/>
              <w:right w:val="none" w:color="070A13" w:sz="0"/>
            </w:tcBorders>
            <w:shd w:fill="070A13" w:color="auto" w:val="clear"/>
            <w:tcMar>
              <w:top w:type="dxa" w:w="500"/>
              <w:left w:type="dxa" w:w="500"/>
              <w:bottom w:type="dxa" w:w="500"/>
              <w:right w:type="dxa" w:w="500"/>
            </w:tcMar>
            <w:vAlign w:val="center"/>
          </w:tcPr>
          <w:p>
            <w:pPr>
              <w:spacing w:after="1400"/>
            </w:pPr>
            <w:r>
              <w:drawing>
                <wp:inline distT="0" distB="0" distL="0" distR="0">
                  <wp:extent cx="2857500" cy="6477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647700"/>
                          </a:xfrm>
                          <a:prstGeom prst="rect">
                            <a:avLst/>
                          </a:prstGeom>
                        </pic:spPr>
                      </pic:pic>
                    </a:graphicData>
                  </a:graphic>
                </wp:inline>
              </w:drawing>
            </w:r>
          </w:p>
          <w:p>
            <w:pPr>
              <w:spacing w:after="200"/>
            </w:pPr>
            <w:r>
              <w:rPr>
                <w:rFonts w:ascii="Calibri" w:cs="Calibri" w:eastAsia="Calibri" w:hAnsi="Calibri"/>
                <w:b/>
                <w:bCs/>
                <w:color w:val="CFA04A"/>
                <w:spacing w:val="60"/>
                <w:sz w:val="22"/>
                <w:szCs w:val="22"/>
              </w:rPr>
              <w:t xml:space="preserve">MODELOS E RELATÓRIOS</w:t>
            </w:r>
          </w:p>
          <w:p>
            <w:pPr>
              <w:spacing w:after="240"/>
            </w:pPr>
            <w:r>
              <w:rPr>
                <w:rFonts w:ascii="Calibri" w:cs="Calibri" w:eastAsia="Calibri" w:hAnsi="Calibri"/>
                <w:b/>
                <w:bCs/>
                <w:color w:val="FFFFFF"/>
                <w:sz w:val="56"/>
                <w:szCs w:val="56"/>
              </w:rPr>
              <w:t xml:space="preserve">NIS2 e Reg. 2024/2690</w:t>
            </w:r>
          </w:p>
          <w:p>
            <w:pPr>
              <w:spacing w:after="1600" w:line="300"/>
            </w:pPr>
            <w:r>
              <w:rPr>
                <w:rFonts w:ascii="Calibri" w:cs="Calibri" w:eastAsia="Calibri" w:hAnsi="Calibri"/>
                <w:color w:val="C9CFDA"/>
                <w:sz w:val="24"/>
                <w:szCs w:val="24"/>
              </w:rPr>
              <w:t xml:space="preserve">Avaliação de incidente significativo, política de segurança dos sistemas de rede e informação e relatório de conformidade com o art. 21.º da Diretiva (UE) 2022/2555.</w:t>
            </w:r>
          </w:p>
          <w:p>
            <w:pPr>
              <w:spacing w:after="60"/>
            </w:pPr>
            <w:r>
              <w:rPr>
                <w:rFonts w:ascii="Calibri" w:cs="Calibri" w:eastAsia="Calibri" w:hAnsi="Calibri"/>
                <w:color w:val="C9CFDA"/>
                <w:sz w:val="20"/>
                <w:szCs w:val="20"/>
              </w:rPr>
              <w:t xml:space="preserve">Versão 1.0 · outubro de 2026</w:t>
            </w:r>
          </w:p>
          <w:p>
            <w:r>
              <w:rPr>
                <w:rFonts w:ascii="Calibri" w:cs="Calibri" w:eastAsia="Calibri" w:hAnsi="Calibri"/>
                <w:b/>
                <w:bCs/>
                <w:color w:val="CFA04A"/>
                <w:sz w:val="20"/>
                <w:szCs w:val="20"/>
              </w:rPr>
              <w:t xml:space="preserve">app.ankoraone.com</w:t>
            </w:r>
          </w:p>
        </w:tc>
      </w:tr>
    </w:tbl>
    <w:p>
      <w:pPr>
        <w:sectPr>
          <w:pgSz w:w="11906" w:h="16838" w:orient="portrait"/>
          <w:pgMar w:top="1134" w:right="1134" w:bottom="1134" w:left="1134" w:header="708" w:footer="708" w:gutter="0"/>
          <w:pgNumType/>
          <w:docGrid w:linePitch="360"/>
        </w:sectPr>
      </w:pPr>
    </w:p>
    <w:p>
      <w:pPr>
        <w:pStyle w:val="Heading1"/>
        <w:pageBreakBefore/>
      </w:pPr>
      <w:r>
        <w:rPr>
          <w:rFonts w:ascii="Calibri" w:cs="Calibri" w:eastAsia="Calibri" w:hAnsi="Calibri"/>
        </w:rPr>
        <w:t xml:space="preserve">Índice</w:t>
      </w:r>
    </w:p>
    <w:sdt>
      <w:sdtPr>
        <w:alias w:val="Índice"/>
      </w:sdtPr>
      <w:sdtContent>
        <w:p>
          <w:r>
            <w:fldChar w:fldCharType="begin" w:dirty="true"/>
            <w:instrText xml:space="preserve">TOC \h \o "1-2"</w:instrText>
            <w:fldChar w:fldCharType="separate"/>
          </w:r>
        </w:p>
        <w:p>
          <w:r>
            <w:fldChar w:fldCharType="end"/>
          </w:r>
        </w:p>
      </w:sdtContent>
    </w:sdt>
    <w:p>
      <w:pPr>
        <w:spacing w:after="120" w:line="288"/>
      </w:pPr>
      <w:r>
        <w:rPr>
          <w:rFonts w:ascii="Calibri" w:cs="Calibri" w:eastAsia="Calibri" w:hAnsi="Calibri"/>
          <w:i/>
          <w:iCs/>
          <w:color w:val="5B6474"/>
          <w:sz w:val="18"/>
          <w:szCs w:val="18"/>
        </w:rPr>
        <w:t xml:space="preserve">Se o índice aparecer vazio, atualize os campos no Word (botão direito → Atualizar campo).</w:t>
      </w:r>
    </w:p>
    <w:p>
      <w:pPr>
        <w:pStyle w:val="Heading1"/>
        <w:pageBreakBefore/>
      </w:pPr>
      <w:r>
        <w:rPr>
          <w:rFonts w:ascii="Calibri" w:cs="Calibri" w:eastAsia="Calibri" w:hAnsi="Calibri"/>
        </w:rPr>
        <w:t xml:space="preserve">Como usar estes modelos</w:t>
      </w:r>
    </w:p>
    <w:p>
      <w:pPr>
        <w:spacing w:after="120" w:line="288"/>
      </w:pPr>
      <w:r>
        <w:rPr>
          <w:rFonts w:ascii="Calibri" w:cs="Calibri" w:eastAsia="Calibri" w:hAnsi="Calibri"/>
        </w:rPr>
        <w:t xml:space="preserve">Este documento reúne os modelos de trabalho para a Diretiva (UE) 2022/2555 (NIS2) e o Regulamento de Execução (UE) 2024/2690. Cada modelo começa numa página nova, indica a base legal, o prazo e o canal de envio, e tem um formulário com os campos exigidos.</w:t>
      </w:r>
    </w:p>
    <w:p>
      <w:pPr>
        <w:spacing w:after="120" w:line="288"/>
      </w:pPr>
      <w:r>
        <w:rPr>
          <w:rFonts w:ascii="Calibri" w:cs="Calibri" w:eastAsia="Calibri" w:hAnsi="Calibri"/>
        </w:rPr>
        <w:t xml:space="preserve">Nos modelos legais, a coluna </w:t>
      </w:r>
      <w:r>
        <w:rPr>
          <w:rFonts w:ascii="Calibri" w:cs="Calibri" w:eastAsia="Calibri" w:hAnsi="Calibri"/>
          <w:b/>
          <w:bCs/>
        </w:rPr>
        <w:t xml:space="preserve">Campo</w:t>
      </w:r>
      <w:r>
        <w:rPr>
          <w:rFonts w:ascii="Calibri" w:cs="Calibri" w:eastAsia="Calibri" w:hAnsi="Calibri"/>
        </w:rPr>
        <w:t xml:space="preserve"> reproduz a redação do diploma, alínea a alínea, tal como está publicada no Diário da República ou no Jornal Oficial da UE. Não se acrescentaram nem retiraram requisitos. Os campos sem base legal estão assinalados como «elemento de controlo interno».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4F1EA" w:sz="4"/>
              <w:left w:val="single" w:color="F4F1EA" w:sz="4"/>
              <w:bottom w:val="single" w:color="F4F1EA" w:sz="4"/>
              <w:right w:val="single" w:color="F4F1EA" w:sz="4"/>
            </w:tcBorders>
            <w:shd w:fill="F4F1EA" w:color="auto" w:val="clear"/>
            <w:tcMar>
              <w:top w:type="dxa" w:w="140"/>
              <w:left w:type="dxa" w:w="200"/>
              <w:bottom w:type="dxa" w:w="140"/>
              <w:right w:type="dxa" w:w="200"/>
            </w:tcMar>
          </w:tcPr>
          <w:p>
            <w:pPr>
              <w:spacing w:after="80"/>
            </w:pPr>
            <w:r>
              <w:rPr>
                <w:rFonts w:ascii="Calibri" w:cs="Calibri" w:eastAsia="Calibri" w:hAnsi="Calibri"/>
                <w:b/>
                <w:bCs/>
                <w:color w:val="8A6620"/>
              </w:rPr>
              <w:t xml:space="preserve">Canal oficial e prevalência</w:t>
            </w:r>
          </w:p>
          <w:p>
            <w:pPr>
              <w:spacing w:after="60" w:line="276"/>
            </w:pPr>
            <w:r>
              <w:rPr>
                <w:rFonts w:ascii="Calibri" w:cs="Calibri" w:eastAsia="Calibri" w:hAnsi="Calibri"/>
              </w:rPr>
              <w:t xml:space="preserve">Em Portugal, a NIS2 está transposta pelo RJC: notificações e registos seguem os modelos RJC e QNRCS e a plataforma do CNCS. O Regulamento de Execução 2024/2690 é diretamente aplicável às entidades do seu art. 1.º.</w:t>
            </w:r>
          </w:p>
          <w:p>
            <w:pPr>
              <w:spacing w:after="60" w:line="276"/>
            </w:pPr>
            <w:r>
              <w:rPr>
                <w:rFonts w:ascii="Calibri" w:cs="Calibri" w:eastAsia="Calibri" w:hAnsi="Calibri"/>
              </w:rPr>
              <w:t xml:space="preserve">Para as entidades abrangidas pelo Regulamento 2024/2690, os requisitos técnicos do anexo e os critérios de incidente significativo dos arts. 3.º a 14.º aplicam-se diretamente. Os restantes devem seguir o QNRCS.</w:t>
            </w:r>
          </w:p>
        </w:tc>
      </w:tr>
    </w:tbl>
    <w:p>
      <w:pPr>
        <w:pStyle w:val="Heading2"/>
      </w:pPr>
      <w:r>
        <w:rPr>
          <w:rFonts w:ascii="Calibri" w:cs="Calibri" w:eastAsia="Calibri" w:hAnsi="Calibri"/>
        </w:rPr>
        <w:t xml:space="preserve">Regras de preenchimento</w:t>
      </w:r>
    </w:p>
    <w:p>
      <w:pPr>
        <w:pStyle w:val="ListParagraph"/>
        <w:numPr>
          <w:ilvl w:val="0"/>
          <w:numId w:val="2"/>
        </w:numPr>
        <w:spacing w:after="80" w:line="276"/>
      </w:pPr>
      <w:r>
        <w:rPr>
          <w:rFonts w:ascii="Calibri" w:cs="Calibri" w:eastAsia="Calibri" w:hAnsi="Calibri"/>
        </w:rPr>
        <w:t xml:space="preserve">Preencha a coluna </w:t>
      </w:r>
      <w:r>
        <w:rPr>
          <w:rFonts w:ascii="Calibri" w:cs="Calibri" w:eastAsia="Calibri" w:hAnsi="Calibri"/>
          <w:b/>
          <w:bCs/>
        </w:rPr>
        <w:t xml:space="preserve">Preenchimento</w:t>
      </w:r>
      <w:r>
        <w:rPr>
          <w:rFonts w:ascii="Calibri" w:cs="Calibri" w:eastAsia="Calibri" w:hAnsi="Calibri"/>
        </w:rPr>
        <w:t xml:space="preserve"> e guarde o documento no repositório documental do cliente, com a data e a versão.</w:t>
      </w:r>
    </w:p>
    <w:p>
      <w:pPr>
        <w:pStyle w:val="ListParagraph"/>
        <w:numPr>
          <w:ilvl w:val="0"/>
          <w:numId w:val="2"/>
        </w:numPr>
        <w:spacing w:after="80" w:line="276"/>
      </w:pPr>
      <w:r>
        <w:rPr>
          <w:rFonts w:ascii="Calibri" w:cs="Calibri" w:eastAsia="Calibri" w:hAnsi="Calibri"/>
        </w:rPr>
        <w:t xml:space="preserve">Nos campos que o diploma admite «se aplicável» ou «se disponível», escreva «Não aplicável» ou «Ainda não disponível» em vez de deixar em branco.</w:t>
      </w:r>
    </w:p>
    <w:p>
      <w:pPr>
        <w:pStyle w:val="ListParagraph"/>
        <w:numPr>
          <w:ilvl w:val="0"/>
          <w:numId w:val="2"/>
        </w:numPr>
        <w:spacing w:after="80" w:line="276"/>
      </w:pPr>
      <w:r>
        <w:rPr>
          <w:rFonts w:ascii="Calibri" w:cs="Calibri" w:eastAsia="Calibri" w:hAnsi="Calibri"/>
        </w:rPr>
        <w:t xml:space="preserve">Datas e horas no formato AAAA-MM-DD hh:mm, com o fuso horário (por exemplo 2026-10-27 09:30 WET).</w:t>
      </w:r>
    </w:p>
    <w:p>
      <w:pPr>
        <w:pStyle w:val="ListParagraph"/>
        <w:numPr>
          <w:ilvl w:val="0"/>
          <w:numId w:val="2"/>
        </w:numPr>
        <w:spacing w:after="80" w:line="276"/>
      </w:pPr>
      <w:r>
        <w:rPr>
          <w:rFonts w:ascii="Calibri" w:cs="Calibri" w:eastAsia="Calibri" w:hAnsi="Calibri"/>
        </w:rPr>
        <w:t xml:space="preserve">Na AnkoraOne, os mesmos campos estão nos rascunhos com IA e no plano do incidente; o texto gerado é sempre revisto antes de ser enviado.</w:t>
      </w:r>
    </w:p>
    <w:p>
      <w:pPr>
        <w:pStyle w:val="Heading2"/>
      </w:pPr>
      <w:r>
        <w:rPr>
          <w:rFonts w:ascii="Calibri" w:cs="Calibri" w:eastAsia="Calibri" w:hAnsi="Calibri"/>
        </w:rPr>
        <w:t xml:space="preserve">Entidades abrangidas pelo Regulamento 2024/2690 (art. 1.º)</w:t>
      </w:r>
    </w:p>
    <w:p>
      <w:pPr>
        <w:pStyle w:val="ListParagraph"/>
        <w:numPr>
          <w:ilvl w:val="0"/>
          <w:numId w:val="2"/>
        </w:numPr>
        <w:spacing w:after="80" w:line="276"/>
      </w:pPr>
      <w:r>
        <w:rPr>
          <w:rFonts w:ascii="Calibri" w:cs="Calibri" w:eastAsia="Calibri" w:hAnsi="Calibri"/>
        </w:rPr>
        <w:t xml:space="preserve">prestadores de serviços de DNS</w:t>
      </w:r>
    </w:p>
    <w:p>
      <w:pPr>
        <w:pStyle w:val="ListParagraph"/>
        <w:numPr>
          <w:ilvl w:val="0"/>
          <w:numId w:val="2"/>
        </w:numPr>
        <w:spacing w:after="80" w:line="276"/>
      </w:pPr>
      <w:r>
        <w:rPr>
          <w:rFonts w:ascii="Calibri" w:cs="Calibri" w:eastAsia="Calibri" w:hAnsi="Calibri"/>
        </w:rPr>
        <w:t xml:space="preserve">registos de nomes de TLD</w:t>
      </w:r>
    </w:p>
    <w:p>
      <w:pPr>
        <w:pStyle w:val="ListParagraph"/>
        <w:numPr>
          <w:ilvl w:val="0"/>
          <w:numId w:val="2"/>
        </w:numPr>
        <w:spacing w:after="80" w:line="276"/>
      </w:pPr>
      <w:r>
        <w:rPr>
          <w:rFonts w:ascii="Calibri" w:cs="Calibri" w:eastAsia="Calibri" w:hAnsi="Calibri"/>
        </w:rPr>
        <w:t xml:space="preserve">prestadores de serviços de computação em nuvem</w:t>
      </w:r>
    </w:p>
    <w:p>
      <w:pPr>
        <w:pStyle w:val="ListParagraph"/>
        <w:numPr>
          <w:ilvl w:val="0"/>
          <w:numId w:val="2"/>
        </w:numPr>
        <w:spacing w:after="80" w:line="276"/>
      </w:pPr>
      <w:r>
        <w:rPr>
          <w:rFonts w:ascii="Calibri" w:cs="Calibri" w:eastAsia="Calibri" w:hAnsi="Calibri"/>
        </w:rPr>
        <w:t xml:space="preserve">prestadores de serviços de centro de dados</w:t>
      </w:r>
    </w:p>
    <w:p>
      <w:pPr>
        <w:pStyle w:val="ListParagraph"/>
        <w:numPr>
          <w:ilvl w:val="0"/>
          <w:numId w:val="2"/>
        </w:numPr>
        <w:spacing w:after="80" w:line="276"/>
      </w:pPr>
      <w:r>
        <w:rPr>
          <w:rFonts w:ascii="Calibri" w:cs="Calibri" w:eastAsia="Calibri" w:hAnsi="Calibri"/>
        </w:rPr>
        <w:t xml:space="preserve">fornecedores de redes de distribuição de conteúdos</w:t>
      </w:r>
    </w:p>
    <w:p>
      <w:pPr>
        <w:pStyle w:val="ListParagraph"/>
        <w:numPr>
          <w:ilvl w:val="0"/>
          <w:numId w:val="2"/>
        </w:numPr>
        <w:spacing w:after="80" w:line="276"/>
      </w:pPr>
      <w:r>
        <w:rPr>
          <w:rFonts w:ascii="Calibri" w:cs="Calibri" w:eastAsia="Calibri" w:hAnsi="Calibri"/>
        </w:rPr>
        <w:t xml:space="preserve">prestadores de serviços geridos</w:t>
      </w:r>
    </w:p>
    <w:p>
      <w:pPr>
        <w:pStyle w:val="ListParagraph"/>
        <w:numPr>
          <w:ilvl w:val="0"/>
          <w:numId w:val="2"/>
        </w:numPr>
        <w:spacing w:after="80" w:line="276"/>
      </w:pPr>
      <w:r>
        <w:rPr>
          <w:rFonts w:ascii="Calibri" w:cs="Calibri" w:eastAsia="Calibri" w:hAnsi="Calibri"/>
        </w:rPr>
        <w:t xml:space="preserve">prestadores de serviços de segurança geridos</w:t>
      </w:r>
    </w:p>
    <w:p>
      <w:pPr>
        <w:pStyle w:val="ListParagraph"/>
        <w:numPr>
          <w:ilvl w:val="0"/>
          <w:numId w:val="2"/>
        </w:numPr>
        <w:spacing w:after="80" w:line="276"/>
      </w:pPr>
      <w:r>
        <w:rPr>
          <w:rFonts w:ascii="Calibri" w:cs="Calibri" w:eastAsia="Calibri" w:hAnsi="Calibri"/>
        </w:rPr>
        <w:t xml:space="preserve">prestadores de serviços de mercados em linha, de motores de pesquisa em linha e de plataformas de serviços de redes sociais</w:t>
      </w:r>
    </w:p>
    <w:p>
      <w:pPr>
        <w:pStyle w:val="ListParagraph"/>
        <w:numPr>
          <w:ilvl w:val="0"/>
          <w:numId w:val="2"/>
        </w:numPr>
        <w:spacing w:after="80" w:line="276"/>
      </w:pPr>
      <w:r>
        <w:rPr>
          <w:rFonts w:ascii="Calibri" w:cs="Calibri" w:eastAsia="Calibri" w:hAnsi="Calibri"/>
        </w:rPr>
        <w:t xml:space="preserve">prestadores de serviços de confiança</w:t>
      </w:r>
    </w:p>
    <w:p>
      <w:pPr>
        <w:pStyle w:val="Heading1"/>
        <w:pageBreakBefore/>
      </w:pPr>
      <w:r>
        <w:rPr>
          <w:rFonts w:ascii="Calibri" w:cs="Calibri" w:eastAsia="Calibri" w:hAnsi="Calibri"/>
        </w:rPr>
        <w:t xml:space="preserve">N1 · Avaliação de incidente significativo (Reg. 2024/2690)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Elemento</w:t>
            </w:r>
          </w:p>
        </w:tc>
        <w:tc>
          <w:tcPr>
            <w:tcW w:type="dxa" w:w="6747"/>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Indicação</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Base legal</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Reg. Exec. 2024/2690, arts. 3.º a 14.º; Diretiva NIS2, art. 23.º, n.º 3</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Uso</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Assinale cada critério que se verifica. Basta um critério geral (art. 3.º) ou um critério específico do tipo de entidade</w:t>
            </w:r>
          </w:p>
        </w:tc>
      </w:tr>
    </w:tbl>
    <w:p>
      <w:pPr>
        <w:spacing w:after="60"/>
      </w:pPr>
    </w:p>
    <w:p>
      <w:pPr>
        <w:pStyle w:val="Heading3"/>
      </w:pPr>
      <w:r>
        <w:rPr>
          <w:rFonts w:ascii="Calibri" w:cs="Calibri" w:eastAsia="Calibri" w:hAnsi="Calibri"/>
        </w:rPr>
        <w:t xml:space="preserve">art. 3.º, n.º 1 · todas as entidades</w:t>
      </w:r>
    </w:p>
    <w:p>
      <w:pPr>
        <w:spacing w:after="120" w:line="288"/>
      </w:pPr>
      <w:r>
        <w:rPr>
          <w:rFonts w:ascii="Calibri" w:cs="Calibri" w:eastAsia="Calibri" w:hAnsi="Calibri"/>
        </w:rPr>
        <w:t xml:space="preserve">1. No que diz respeito às entidades pertinentes, um incidente é considerado significativo para efeitos do artigo 23.º, n.º 3, da Diretiva (UE) 2022/2555 se estiverem preenchidos um ou mais dos seguintes critérios: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5"/>
        <w:gridCol w:w="2313"/>
        <w:gridCol w:w="2120"/>
      </w:tblGrid>
      <w:tr>
        <w:trPr>
          <w:tblHeader/>
        </w:trPr>
        <w:tc>
          <w:tcPr>
            <w:tcW w:type="dxa" w:w="520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Critério (redação do regulamento)</w:t>
            </w:r>
          </w:p>
        </w:tc>
        <w:tc>
          <w:tcPr>
            <w:tcW w:type="dxa" w:w="2313"/>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Base legal</w:t>
            </w:r>
          </w:p>
        </w:tc>
        <w:tc>
          <w:tcPr>
            <w:tcW w:type="dxa" w:w="212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Verifica-se? / Fundamento</w:t>
            </w: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O incidente causou ou é suscetível de causar à entidade pertinente perdas financeiras diretas superiores a 500 000 EUR ou a 5 % do seu volume de negócios anual total ao longo do exercício financeiro anterior, consoante o que for mais baixo;</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3.º, n.º 1, alínea a)</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O incidente causou ou é suscetível de causar a fuga, a partir da entidade pertinente, de segredos comerciais na aceção do artigo 2.º, ponto 1, da Diretiva (UE) 2016/943;</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3.º, n.º 1, alínea b)</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 O incidente causou ou é suscetível de causar a morte de uma pessoa singular;</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3.º, n.º 1, alínea c)</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 O incidente causou ou é suscetível de causar danos consideráveis à saúde de uma pessoa singular;</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3.º, n.º 1, alínea d)</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 Ocorreu um acesso bem-sucedido, presumivelmente malicioso e não autorizado aos sistemas de rede e informação, e que é suscetível de causar graves perturbações operacionais;</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3.º, n.º 1, alínea e)</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f) O incidente cumpre os critérios estabelecidos no artigo 4.º;</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3.º, n.º 1, alínea f)</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g) O incidente cumpre um ou mais dos critérios estabelecidos nos artigos 5.º a 14.º.</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3.º, n.º 1, alínea g)</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3"/>
      </w:pPr>
      <w:r>
        <w:rPr>
          <w:rFonts w:ascii="Calibri" w:cs="Calibri" w:eastAsia="Calibri" w:hAnsi="Calibri"/>
        </w:rPr>
        <w:t xml:space="preserve">art. 3.º, n.º 2 · todas as entidades</w:t>
      </w:r>
    </w:p>
    <w:p>
      <w:pPr>
        <w:spacing w:after="120" w:line="288"/>
      </w:pPr>
      <w:r>
        <w:rPr>
          <w:rFonts w:ascii="Calibri" w:cs="Calibri" w:eastAsia="Calibri" w:hAnsi="Calibri"/>
        </w:rPr>
        <w:t xml:space="preserve">2. Não são consideradas incidentes significativos as interrupções de serviço programadas e as consequências previstas de operações de manutenção programadas realizadas pelas entidades pertinentes ou em seu nome.</w:t>
      </w:r>
    </w:p>
    <w:p>
      <w:pPr>
        <w:pStyle w:val="Heading3"/>
      </w:pPr>
      <w:r>
        <w:rPr>
          <w:rFonts w:ascii="Calibri" w:cs="Calibri" w:eastAsia="Calibri" w:hAnsi="Calibri"/>
        </w:rPr>
        <w:t xml:space="preserve">art. 3.º, n.º 3 · todas as entidades</w:t>
      </w:r>
    </w:p>
    <w:p>
      <w:pPr>
        <w:spacing w:after="120" w:line="288"/>
      </w:pPr>
      <w:r>
        <w:rPr>
          <w:rFonts w:ascii="Calibri" w:cs="Calibri" w:eastAsia="Calibri" w:hAnsi="Calibri"/>
        </w:rPr>
        <w:t xml:space="preserve">3. Ao calcularem o número de utilizadores afetados por um incidente para efeitos dos artigos 7.º e 9.º a 14.º, as entidades pertinentes têm em conta todos os seguintes elementos: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5"/>
        <w:gridCol w:w="2313"/>
        <w:gridCol w:w="2120"/>
      </w:tblGrid>
      <w:tr>
        <w:trPr>
          <w:tblHeader/>
        </w:trPr>
        <w:tc>
          <w:tcPr>
            <w:tcW w:type="dxa" w:w="520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Critério (redação do regulamento)</w:t>
            </w:r>
          </w:p>
        </w:tc>
        <w:tc>
          <w:tcPr>
            <w:tcW w:type="dxa" w:w="2313"/>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Base legal</w:t>
            </w:r>
          </w:p>
        </w:tc>
        <w:tc>
          <w:tcPr>
            <w:tcW w:type="dxa" w:w="212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Verifica-se? / Fundamento</w:t>
            </w: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O número de clientes que têm um contrato com a entidade pertinente que lhes concede acesso aos sistemas de rede e informação dessa entidade, ou a serviços oferecidos ou acessíveis através desses sistemas;</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3.º, n.º 3, alínea a)</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O número de pessoas singulares e coletivas associadas a clientes empresariais que utilizam os sistemas de rede e informação da entidade ou os serviços oferecidos ou acessíveis através desses sistemas.</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3.º, n.º 3, alínea b)</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3"/>
      </w:pPr>
      <w:r>
        <w:rPr>
          <w:rFonts w:ascii="Calibri" w:cs="Calibri" w:eastAsia="Calibri" w:hAnsi="Calibri"/>
        </w:rPr>
        <w:t xml:space="preserve">art. 4.º · todas as entidades</w:t>
      </w:r>
    </w:p>
    <w:p>
      <w:pPr>
        <w:spacing w:after="120" w:line="288"/>
      </w:pPr>
      <w:r>
        <w:rPr>
          <w:rFonts w:ascii="Calibri" w:cs="Calibri" w:eastAsia="Calibri" w:hAnsi="Calibri"/>
        </w:rPr>
        <w:t xml:space="preserve">Os incidentes que, individualmente, não sejam considerados um incidente significativo na aceção do artigo 3.º devem ser considerados, coletivamente, um incidente significativo se satisfizerem cumulativamente os seguintes critérios: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5"/>
        <w:gridCol w:w="2313"/>
        <w:gridCol w:w="2120"/>
      </w:tblGrid>
      <w:tr>
        <w:trPr>
          <w:tblHeader/>
        </w:trPr>
        <w:tc>
          <w:tcPr>
            <w:tcW w:type="dxa" w:w="520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Critério (redação do regulamento)</w:t>
            </w:r>
          </w:p>
        </w:tc>
        <w:tc>
          <w:tcPr>
            <w:tcW w:type="dxa" w:w="2313"/>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Base legal</w:t>
            </w:r>
          </w:p>
        </w:tc>
        <w:tc>
          <w:tcPr>
            <w:tcW w:type="dxa" w:w="212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Verifica-se? / Fundamento</w:t>
            </w: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Ocorreram pelo menos duas vezes num período de seis meses;</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4.º, alínea a)</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Têm a mesma causa primária aparente;</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4.º, alínea b)</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 Cumprem, coletivamente, os critérios estabelecidos no artigo 3.º, n.º 1, alínea a).</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4.º, alínea c)</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3"/>
      </w:pPr>
      <w:r>
        <w:rPr>
          <w:rFonts w:ascii="Calibri" w:cs="Calibri" w:eastAsia="Calibri" w:hAnsi="Calibri"/>
        </w:rPr>
        <w:t xml:space="preserve">art. 5.º · prestadores de serviços de DNS</w:t>
      </w:r>
    </w:p>
    <w:p>
      <w:pPr>
        <w:spacing w:after="120" w:line="288"/>
      </w:pPr>
      <w:r>
        <w:rPr>
          <w:rFonts w:ascii="Calibri" w:cs="Calibri" w:eastAsia="Calibri" w:hAnsi="Calibri"/>
        </w:rPr>
        <w:t xml:space="preserve">No que diz respeito aos prestadores de serviços de DNS, considera-se que um incidente é significativo nos termos do artigo 3.º, n.º 1, alínea g), se preencher um ou mais dos seguintes critérios: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5"/>
        <w:gridCol w:w="2313"/>
        <w:gridCol w:w="2120"/>
      </w:tblGrid>
      <w:tr>
        <w:trPr>
          <w:tblHeader/>
        </w:trPr>
        <w:tc>
          <w:tcPr>
            <w:tcW w:type="dxa" w:w="520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Critério (redação do regulamento)</w:t>
            </w:r>
          </w:p>
        </w:tc>
        <w:tc>
          <w:tcPr>
            <w:tcW w:type="dxa" w:w="2313"/>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Base legal</w:t>
            </w:r>
          </w:p>
        </w:tc>
        <w:tc>
          <w:tcPr>
            <w:tcW w:type="dxa" w:w="212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Verifica-se? / Fundamento</w:t>
            </w: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Um serviço de resolução recursiva de nomes de domínio ou um serviço de resolução com autoridade para nomes de domínio fica totalmente indisponível durante mais de 30 minutos;</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5.º, alínea a)</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Durante um período superior a uma hora, o tempo médio de resposta de um serviço de resolução recursiva de nomes de domínio ou de um serviço de resolução com autoridade para nomes de domínio aos pedidos de DNS é superior a 10 segundos;</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5.º, alínea b)</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 A integridade, a confidencialidade ou a autenticidade dos dados armazenados, transmitidos ou tratados no âmbito da prestação do serviço de resolução com autoridade para nomes de domínio estão comprometidas, exceto nos casos em que os dados de menos de 1 000 nomes de domínio geridos pelo prestador de serviços de DNS (que não representem mais de 1 % dos nomes de domínio geridos por esse prestador) estejam incorretos devido a má configuração.</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5.º, alínea c)</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3"/>
      </w:pPr>
      <w:r>
        <w:rPr>
          <w:rFonts w:ascii="Calibri" w:cs="Calibri" w:eastAsia="Calibri" w:hAnsi="Calibri"/>
        </w:rPr>
        <w:t xml:space="preserve">art. 6.º · registos de nomes de TLD</w:t>
      </w:r>
    </w:p>
    <w:p>
      <w:pPr>
        <w:spacing w:after="120" w:line="288"/>
      </w:pPr>
      <w:r>
        <w:rPr>
          <w:rFonts w:ascii="Calibri" w:cs="Calibri" w:eastAsia="Calibri" w:hAnsi="Calibri"/>
        </w:rPr>
        <w:t xml:space="preserve">No que diz respeito aos registos de nomes de TLD, considera-se que um incidente é significativo nos termos do artigo 3.º, n.º 1, alínea g), se preencher um ou mais dos seguintes critérios: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5"/>
        <w:gridCol w:w="2313"/>
        <w:gridCol w:w="2120"/>
      </w:tblGrid>
      <w:tr>
        <w:trPr>
          <w:tblHeader/>
        </w:trPr>
        <w:tc>
          <w:tcPr>
            <w:tcW w:type="dxa" w:w="520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Critério (redação do regulamento)</w:t>
            </w:r>
          </w:p>
        </w:tc>
        <w:tc>
          <w:tcPr>
            <w:tcW w:type="dxa" w:w="2313"/>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Base legal</w:t>
            </w:r>
          </w:p>
        </w:tc>
        <w:tc>
          <w:tcPr>
            <w:tcW w:type="dxa" w:w="212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Verifica-se? / Fundamento</w:t>
            </w: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Um serviço de resolução com autoridade para nomes de domínio fica completamente indisponível;</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6.º, alínea a)</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Durante um período superior a uma hora, o tempo médio de resposta de um serviço de resolução com autoridade para nomes de domínio aos pedidos de DNS é superior a 10 segundos;</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6.º, alínea b)</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 A integridade, a confidencialidade ou a autenticidade dos dados armazenados, transmitidos ou tratados no âmbito da operação técnica do TLD estão comprometidas.</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6.º, alínea c)</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3"/>
      </w:pPr>
      <w:r>
        <w:rPr>
          <w:rFonts w:ascii="Calibri" w:cs="Calibri" w:eastAsia="Calibri" w:hAnsi="Calibri"/>
        </w:rPr>
        <w:t xml:space="preserve">art. 7.º · prestadores de serviços de computação em nuvem</w:t>
      </w:r>
    </w:p>
    <w:p>
      <w:pPr>
        <w:spacing w:after="120" w:line="288"/>
      </w:pPr>
      <w:r>
        <w:rPr>
          <w:rFonts w:ascii="Calibri" w:cs="Calibri" w:eastAsia="Calibri" w:hAnsi="Calibri"/>
        </w:rPr>
        <w:t xml:space="preserve">No que diz respeito aos prestadores de serviços de computação em nuvem, considera-se que um incidente é significativo nos termos do artigo 3.º, n.º 1, alínea g), se preencher um ou mais dos seguintes critérios: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5"/>
        <w:gridCol w:w="2313"/>
        <w:gridCol w:w="2120"/>
      </w:tblGrid>
      <w:tr>
        <w:trPr>
          <w:tblHeader/>
        </w:trPr>
        <w:tc>
          <w:tcPr>
            <w:tcW w:type="dxa" w:w="520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Critério (redação do regulamento)</w:t>
            </w:r>
          </w:p>
        </w:tc>
        <w:tc>
          <w:tcPr>
            <w:tcW w:type="dxa" w:w="2313"/>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Base legal</w:t>
            </w:r>
          </w:p>
        </w:tc>
        <w:tc>
          <w:tcPr>
            <w:tcW w:type="dxa" w:w="212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Verifica-se? / Fundamento</w:t>
            </w: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Um serviço de computação em nuvem prestado fica completamente indisponível durante mais de 30 minutos;</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7.º, alínea a)</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A disponibilidade de um serviço de computação em nuvem de um prestador fica limitada, por um período superior a uma hora, para mais de 5 % dos utilizadores do serviço de computação em nuvem na União ou para mais de um milhão de utilizadores do serviço de computação em nuvem na União, consoante o que for menor;</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7.º, alínea b)</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 A integridade, a confidencialidade ou a autenticidade dos dados armazenados, transmitidos ou tratados no âmbito da prestação de um serviço de computação em nuvem ficam comprometidas em resultado de uma ação presumivelmente maliciosa;</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7.º, alínea c)</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 A integridade, a confidencialidade ou a autenticidade dos dados armazenados, transmitidos ou tratados no âmbito da prestação de um serviço de computação em nuvem ficam comprometidas, afetando mais de 5 % dos utilizadores desse serviço de computação em nuvem na União ou mais de um milhão de utilizadores desse serviço de computação em nuvem na União, consoante o que for menor.</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7.º, alínea d)</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3"/>
      </w:pPr>
      <w:r>
        <w:rPr>
          <w:rFonts w:ascii="Calibri" w:cs="Calibri" w:eastAsia="Calibri" w:hAnsi="Calibri"/>
        </w:rPr>
        <w:t xml:space="preserve">art. 8.º · prestadores de serviços de centro de dados</w:t>
      </w:r>
    </w:p>
    <w:p>
      <w:pPr>
        <w:spacing w:after="120" w:line="288"/>
      </w:pPr>
      <w:r>
        <w:rPr>
          <w:rFonts w:ascii="Calibri" w:cs="Calibri" w:eastAsia="Calibri" w:hAnsi="Calibri"/>
        </w:rPr>
        <w:t xml:space="preserve">No que diz respeito aos prestadores de serviços de centro de dados, considera-se que um incidente é significativo nos termos do artigo 3.º, n.º 1, alínea g), se preencher um ou mais dos seguintes critérios: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5"/>
        <w:gridCol w:w="2313"/>
        <w:gridCol w:w="2120"/>
      </w:tblGrid>
      <w:tr>
        <w:trPr>
          <w:tblHeader/>
        </w:trPr>
        <w:tc>
          <w:tcPr>
            <w:tcW w:type="dxa" w:w="520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Critério (redação do regulamento)</w:t>
            </w:r>
          </w:p>
        </w:tc>
        <w:tc>
          <w:tcPr>
            <w:tcW w:type="dxa" w:w="2313"/>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Base legal</w:t>
            </w:r>
          </w:p>
        </w:tc>
        <w:tc>
          <w:tcPr>
            <w:tcW w:type="dxa" w:w="212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Verifica-se? / Fundamento</w:t>
            </w: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Um serviço de centro de dados de um centro de dados operado pelo prestador fica completamente indisponível;</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8.º, alínea a)</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A disponibilidade de um serviço de centro de dados de um centro de dados operado pelo prestador fica limitada por um período superior a uma hora;</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8.º, alínea b)</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 A integridade, a confidencialidade ou a autenticidade dos dados armazenados, transmitidos ou tratados no âmbito da prestação do serviço de um centro de dados ficam comprometidas em resultado de uma ação presumivelmente maliciosa;</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8.º, alínea c)</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 O acesso físico a um centro de dados operado pelo prestador encontra-se comprometido.</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8.º, alínea d)</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3"/>
      </w:pPr>
      <w:r>
        <w:rPr>
          <w:rFonts w:ascii="Calibri" w:cs="Calibri" w:eastAsia="Calibri" w:hAnsi="Calibri"/>
        </w:rPr>
        <w:t xml:space="preserve">art. 9.º · fornecedores de redes de distribuição de conteúdos</w:t>
      </w:r>
    </w:p>
    <w:p>
      <w:pPr>
        <w:spacing w:after="120" w:line="288"/>
      </w:pPr>
      <w:r>
        <w:rPr>
          <w:rFonts w:ascii="Calibri" w:cs="Calibri" w:eastAsia="Calibri" w:hAnsi="Calibri"/>
        </w:rPr>
        <w:t xml:space="preserve">No que diz respeito aos fornecedores de redes de distribuição de conteúdos, considera-se que um incidente é significativo nos termos do artigo 3.º, n.º 1, alínea g), se preencher um ou mais dos seguintes critérios: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5"/>
        <w:gridCol w:w="2313"/>
        <w:gridCol w:w="2120"/>
      </w:tblGrid>
      <w:tr>
        <w:trPr>
          <w:tblHeader/>
        </w:trPr>
        <w:tc>
          <w:tcPr>
            <w:tcW w:type="dxa" w:w="520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Critério (redação do regulamento)</w:t>
            </w:r>
          </w:p>
        </w:tc>
        <w:tc>
          <w:tcPr>
            <w:tcW w:type="dxa" w:w="2313"/>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Base legal</w:t>
            </w:r>
          </w:p>
        </w:tc>
        <w:tc>
          <w:tcPr>
            <w:tcW w:type="dxa" w:w="212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Verifica-se? / Fundamento</w:t>
            </w: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Uma rede de distribuição de conteúdos fica completamente indisponível durante mais de 30 minutos;</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9.º, alínea a)</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A disponibilidade de uma rede de distribuição de conteúdos fica limitada, por um período superior a uma hora, para mais de 5 % dos utilizadores da rede de distribuição de conteúdos na União ou para mais de um milhão de utilizadores da rede de distribuição de conteúdos na União, consoante o que for menor;</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9.º, alínea b)</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 A integridade, a confidencialidade ou a autenticidade dos dados armazenados, transmitidos ou tratados no âmbito da prestação de uma rede de distribuição de conteúdos ficam comprometidas em resultado de uma ação presumivelmente maliciosa;</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9.º, alínea c)</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 A integridade, a confidencialidade ou a autenticidade dos dados armazenados, transmitidos ou tratados no âmbito do fornecimento de uma rede de distribuição de conteúdos ficam comprometidas, afetando mais de 5 % dos utilizadores dessa rede de distribuição de conteúdos na União ou mais de um milhão de utilizadores dessa rede de distribuição de conteúdos na União, consoante o que for menor.</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9.º, alínea d)</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3"/>
      </w:pPr>
      <w:r>
        <w:rPr>
          <w:rFonts w:ascii="Calibri" w:cs="Calibri" w:eastAsia="Calibri" w:hAnsi="Calibri"/>
        </w:rPr>
        <w:t xml:space="preserve">art. 10.º · prestadores de serviços geridos e prestadores de serviços de segurança geridos</w:t>
      </w:r>
    </w:p>
    <w:p>
      <w:pPr>
        <w:spacing w:after="120" w:line="288"/>
      </w:pPr>
      <w:r>
        <w:rPr>
          <w:rFonts w:ascii="Calibri" w:cs="Calibri" w:eastAsia="Calibri" w:hAnsi="Calibri"/>
        </w:rPr>
        <w:t xml:space="preserve">No que diz respeito aos prestadores de serviços geridos e aos prestadores de serviços de segurança geridos, considera-se que um incidente é significativo nos termos do artigo 3.º, n.º 1, alínea g), se preencher um ou mais dos seguintes critérios: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5"/>
        <w:gridCol w:w="2313"/>
        <w:gridCol w:w="2120"/>
      </w:tblGrid>
      <w:tr>
        <w:trPr>
          <w:tblHeader/>
        </w:trPr>
        <w:tc>
          <w:tcPr>
            <w:tcW w:type="dxa" w:w="520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Critério (redação do regulamento)</w:t>
            </w:r>
          </w:p>
        </w:tc>
        <w:tc>
          <w:tcPr>
            <w:tcW w:type="dxa" w:w="2313"/>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Base legal</w:t>
            </w:r>
          </w:p>
        </w:tc>
        <w:tc>
          <w:tcPr>
            <w:tcW w:type="dxa" w:w="212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Verifica-se? / Fundamento</w:t>
            </w: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Um serviço gerido ou um serviço de segurança gerido fica completamente indisponível durante mais de 30 minutos;</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10.º, alínea a)</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A disponibilidade de um serviço gerido ou de um serviço de segurança gerido fica limitada, por um período superior a uma hora, para mais de 5 % dos utilizadores do serviço na União ou para mais de um milhão de utilizadores do serviço na União, consoante o que for menor;</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10.º, alínea b)</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 A integridade, a confidencialidade ou a autenticidade dos dados armazenados, transmitidos ou tratados no âmbito da prestação de um serviço gerido ou de um serviço de segurança gerido ficam comprometidas em resultado de uma ação presumivelmente maliciosa;</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10.º, alínea c)</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 A integridade, a confidencialidade ou a autenticidade dos dados armazenados, transmitidos ou tratados no âmbito da prestação de um serviço gerido ou de um serviço de segurança gerido ficam comprometidas, afetando mais de 5 % dos utilizadores desse serviço gerido ou desse serviço de segurança gerido na União ou mais de um milhão de utilizadores do serviço na União, consoante o que for menor.</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10.º, alínea d)</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3"/>
      </w:pPr>
      <w:r>
        <w:rPr>
          <w:rFonts w:ascii="Calibri" w:cs="Calibri" w:eastAsia="Calibri" w:hAnsi="Calibri"/>
        </w:rPr>
        <w:t xml:space="preserve">art. 11.º · prestadores de serviços de mercados em linha</w:t>
      </w:r>
    </w:p>
    <w:p>
      <w:pPr>
        <w:spacing w:after="120" w:line="288"/>
      </w:pPr>
      <w:r>
        <w:rPr>
          <w:rFonts w:ascii="Calibri" w:cs="Calibri" w:eastAsia="Calibri" w:hAnsi="Calibri"/>
        </w:rPr>
        <w:t xml:space="preserve">No que diz respeito aos prestadores de serviços de mercados em linha, considera-se que um incidente é significativo nos termos do artigo 3.º, n.º 1, alínea g), se preencher um ou mais dos seguintes critérios: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5"/>
        <w:gridCol w:w="2313"/>
        <w:gridCol w:w="2120"/>
      </w:tblGrid>
      <w:tr>
        <w:trPr>
          <w:tblHeader/>
        </w:trPr>
        <w:tc>
          <w:tcPr>
            <w:tcW w:type="dxa" w:w="520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Critério (redação do regulamento)</w:t>
            </w:r>
          </w:p>
        </w:tc>
        <w:tc>
          <w:tcPr>
            <w:tcW w:type="dxa" w:w="2313"/>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Base legal</w:t>
            </w:r>
          </w:p>
        </w:tc>
        <w:tc>
          <w:tcPr>
            <w:tcW w:type="dxa" w:w="212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Verifica-se? / Fundamento</w:t>
            </w: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Um mercado em linha fica totalmente indisponível para mais de 5 % dos utilizadores desse mercado em linha na União ou para mais de um milhão de utilizadores desse mercado em linha na União, consoante o que for menor;</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11.º, alínea a)</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A disponibilidade limitada de um mercado em linha afeta mais de 5 % dos utilizadores desse mercado em linha na União ou mais de um milhão de utilizadores desse mercado em linha na União, consoante o que for menor;</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11.º, alínea b)</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 A integridade, a confidencialidade ou a autenticidade dos dados armazenados, transmitidos ou tratados no âmbito da prestação de um mercado em linha ficam comprometidas em resultado de uma ação presumivelmente maliciosa;</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11.º, alínea c)</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 A integridade, a confidencialidade ou a autenticidade dos dados armazenados, transmitidos ou tratados no âmbito da prestação de um mercado em linha ficam comprometidas, afetando mais de 5 % dos utilizadores desse mercado em linha na União ou mais de um milhão de utilizadores desse mercado em linha na União, consoante o que for menor.</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11.º, alínea d)</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3"/>
      </w:pPr>
      <w:r>
        <w:rPr>
          <w:rFonts w:ascii="Calibri" w:cs="Calibri" w:eastAsia="Calibri" w:hAnsi="Calibri"/>
        </w:rPr>
        <w:t xml:space="preserve">art. 12.º · prestadores de serviços de motores de pesquisa em linha</w:t>
      </w:r>
    </w:p>
    <w:p>
      <w:pPr>
        <w:spacing w:after="120" w:line="288"/>
      </w:pPr>
      <w:r>
        <w:rPr>
          <w:rFonts w:ascii="Calibri" w:cs="Calibri" w:eastAsia="Calibri" w:hAnsi="Calibri"/>
        </w:rPr>
        <w:t xml:space="preserve">No que diz respeito aos prestadores de serviços de motores de pesquisa em linha, considera-se que um incidente é significativo nos termos do artigo 3.º, n.º 1, alínea g), se preencher um ou mais dos seguintes critérios: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5"/>
        <w:gridCol w:w="2313"/>
        <w:gridCol w:w="2120"/>
      </w:tblGrid>
      <w:tr>
        <w:trPr>
          <w:tblHeader/>
        </w:trPr>
        <w:tc>
          <w:tcPr>
            <w:tcW w:type="dxa" w:w="520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Critério (redação do regulamento)</w:t>
            </w:r>
          </w:p>
        </w:tc>
        <w:tc>
          <w:tcPr>
            <w:tcW w:type="dxa" w:w="2313"/>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Base legal</w:t>
            </w:r>
          </w:p>
        </w:tc>
        <w:tc>
          <w:tcPr>
            <w:tcW w:type="dxa" w:w="212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Verifica-se? / Fundamento</w:t>
            </w: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Um motor de pesquisa em linha fica totalmente indisponível para mais de 5 % dos utilizadores desse motor de pesquisa em linha na União ou para mais de um milhão de utilizadores desse motor de pesquisa em linha na União, consoante o que for menor;</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12.º, alínea a)</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A disponibilidade limitada de um motor de pesquisa em linha afeta mais de 5 % dos utilizadores desse motor de pesquisa em linha na União ou mais de um milhão de utilizadores desse motor de pesquisa em linha na União, consoante o que for menor;</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12.º, alínea b)</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 A integridade, a confidencialidade ou a autenticidade dos dados armazenados, transmitidos ou tratados no âmbito da prestação de um motor de pesquisa em linha ficam comprometidas em resultado de uma ação presumivelmente maliciosa;</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12.º, alínea c)</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 A integridade, a confidencialidade ou a autenticidade dos dados armazenados, transmitidos ou tratados no âmbito da prestação de um motor de pesquisa em linha ficam comprometidas, afetando mais de 5 % dos utilizadores desse motor de pesquisa em linha na União ou mais de um milhão de utilizadores desse motor de pesquisa em linha na União, consoante o que for menor.</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12.º, alínea d)</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3"/>
      </w:pPr>
      <w:r>
        <w:rPr>
          <w:rFonts w:ascii="Calibri" w:cs="Calibri" w:eastAsia="Calibri" w:hAnsi="Calibri"/>
        </w:rPr>
        <w:t xml:space="preserve">art. 13.º · prestadores de plataformas de serviços de redes sociais</w:t>
      </w:r>
    </w:p>
    <w:p>
      <w:pPr>
        <w:spacing w:after="120" w:line="288"/>
      </w:pPr>
      <w:r>
        <w:rPr>
          <w:rFonts w:ascii="Calibri" w:cs="Calibri" w:eastAsia="Calibri" w:hAnsi="Calibri"/>
        </w:rPr>
        <w:t xml:space="preserve">No que diz respeito aos prestadores de plataformas de serviços de redes sociais, considera-se que um incidente é significativo nos termos do artigo 3.º, n.º 1, alínea g), se preencher um ou mais dos seguintes critérios: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5"/>
        <w:gridCol w:w="2313"/>
        <w:gridCol w:w="2120"/>
      </w:tblGrid>
      <w:tr>
        <w:trPr>
          <w:tblHeader/>
        </w:trPr>
        <w:tc>
          <w:tcPr>
            <w:tcW w:type="dxa" w:w="520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Critério (redação do regulamento)</w:t>
            </w:r>
          </w:p>
        </w:tc>
        <w:tc>
          <w:tcPr>
            <w:tcW w:type="dxa" w:w="2313"/>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Base legal</w:t>
            </w:r>
          </w:p>
        </w:tc>
        <w:tc>
          <w:tcPr>
            <w:tcW w:type="dxa" w:w="212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Verifica-se? / Fundamento</w:t>
            </w: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Uma plataforma de serviços de redes sociais fica totalmente indisponível para mais de 5 % dos utilizadores dessa plataforma de serviços de redes sociais na União ou para mais de um milhão de utilizadores dessa plataforma de serviços de redes sociais na União, consoante o que for menor;</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13.º, alínea a)</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A disponibilidade limitada de uma plataforma de serviços de redes sociais afeta mais de 5 % dos utilizadores dessa plataforma de serviços de redes sociais na União ou mais de um milhão de utilizadores dessa plataforma de serviços de redes sociais na União, consoante o que for menor;</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13.º, alínea b)</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 A integridade, a confidencialidade ou a autenticidade dos dados armazenados, transmitidos ou tratados no âmbito da prestação de uma plataforma de serviços de redes sociais ficam comprometidas em resultado de uma ação presumivelmente maliciosa;</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13.º, alínea c)</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 A integridade, a confidencialidade ou a autenticidade dos dados armazenados, transmitidos ou tratados no âmbito da prestação de uma plataforma de serviços de redes sociais ficam comprometidas, afetando mais de 5 % dos utilizadores dessa plataforma de serviços de redes sociais na União ou mais de um milhão de utilizadores dessa plataforma de serviços de redes sociais na União, consoante o que for menor.</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13.º, alínea d)</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3"/>
      </w:pPr>
      <w:r>
        <w:rPr>
          <w:rFonts w:ascii="Calibri" w:cs="Calibri" w:eastAsia="Calibri" w:hAnsi="Calibri"/>
        </w:rPr>
        <w:t xml:space="preserve">art. 14.º · prestadores de serviços de confiança</w:t>
      </w:r>
    </w:p>
    <w:p>
      <w:pPr>
        <w:spacing w:after="120" w:line="288"/>
      </w:pPr>
      <w:r>
        <w:rPr>
          <w:rFonts w:ascii="Calibri" w:cs="Calibri" w:eastAsia="Calibri" w:hAnsi="Calibri"/>
        </w:rPr>
        <w:t xml:space="preserve">No que diz respeito aos prestadores de serviços de confiança, considera-se que um incidente é significativo nos termos do artigo 3.º, n.º 1, alínea g), se preencher um ou mais dos seguintes critérios: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5"/>
        <w:gridCol w:w="2313"/>
        <w:gridCol w:w="2120"/>
      </w:tblGrid>
      <w:tr>
        <w:trPr>
          <w:tblHeader/>
        </w:trPr>
        <w:tc>
          <w:tcPr>
            <w:tcW w:type="dxa" w:w="520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Critério (redação do regulamento)</w:t>
            </w:r>
          </w:p>
        </w:tc>
        <w:tc>
          <w:tcPr>
            <w:tcW w:type="dxa" w:w="2313"/>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Base legal</w:t>
            </w:r>
          </w:p>
        </w:tc>
        <w:tc>
          <w:tcPr>
            <w:tcW w:type="dxa" w:w="212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Verifica-se? / Fundamento</w:t>
            </w: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Um serviço de confiança fica totalmente indisponível durante mais de 20 minutos;</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14.º, alínea a)</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Um serviço de confiança fica indisponível para os utilizadores ou para as partes confiantes durante mais de uma hora por semana de calendário;</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14.º, alínea b)</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 A disponibilidade limitada de um serviço de confiança afeta mais de 1 % dos utilizadores ou das partes confiantes na União ou mais de 200 000 utilizadores ou partes confiantes na União, consoante o que for menor;</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14.º, alínea c)</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 Encontra-se comprometido o acesso físico — ou a proteção do mesmo — a uma zona na qual se encontram sistemas de rede e informação e cujo acesso está limitado ao pessoal de confiança do prestador de serviços de confiança;</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14.º, alínea d)</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520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 A integridade, a confidencialidade ou a autenticidade dos dados armazenados, transmitidos ou tratados no âmbito da prestação de um serviço de confiança ficam comprometidas, afetando mais de 0,1 % dos utilizadores ou das partes confiantes, ou mais de 100 utilizadores ou partes confiantes do serviço de confiança na União, consoante o que for menor.</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art. 14.º, alínea e)</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662"/>
        <w:gridCol w:w="1542"/>
        <w:gridCol w:w="2314"/>
      </w:tblGrid>
      <w:tr>
        <w:trPr>
          <w:tblHeader/>
        </w:trPr>
        <w:tc>
          <w:tcPr>
            <w:tcW w:type="dxa" w:w="212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Função</w:t>
            </w:r>
          </w:p>
        </w:tc>
        <w:tc>
          <w:tcPr>
            <w:tcW w:type="dxa" w:w="3662"/>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Nome e cargo</w:t>
            </w:r>
          </w:p>
        </w:tc>
        <w:tc>
          <w:tcPr>
            <w:tcW w:type="dxa" w:w="1542"/>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Data</w:t>
            </w:r>
          </w:p>
        </w:tc>
        <w:tc>
          <w:tcPr>
            <w:tcW w:type="dxa" w:w="2314"/>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Assinatura</w:t>
            </w: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Avaliado por</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31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Validado por</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31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1"/>
        <w:pageBreakBefore/>
      </w:pPr>
      <w:r>
        <w:rPr>
          <w:rFonts w:ascii="Calibri" w:cs="Calibri" w:eastAsia="Calibri" w:hAnsi="Calibri"/>
        </w:rPr>
        <w:t xml:space="preserve">N2 · Política de segurança dos sistemas de rede e informação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Elemento</w:t>
            </w:r>
          </w:p>
        </w:tc>
        <w:tc>
          <w:tcPr>
            <w:tcW w:type="dxa" w:w="6747"/>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Indicação</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Base legal</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Diretiva NIS2, art. 21.º, n.º 2, alínea a); Reg. Exec. 2024/2690, anexo, ponto 1</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Uso</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Estrutura mínima da política. Cada secção responde a um requisito do anexo</w:t>
            </w:r>
          </w:p>
        </w:tc>
      </w:tr>
    </w:tbl>
    <w:p>
      <w:pPr>
        <w:spacing w:after="60"/>
      </w:pPr>
    </w:p>
    <w:p>
      <w:pPr>
        <w:pStyle w:val="Heading2"/>
      </w:pPr>
      <w:r>
        <w:rPr>
          <w:rFonts w:ascii="Calibri" w:cs="Calibri" w:eastAsia="Calibri" w:hAnsi="Calibri"/>
        </w:rPr>
        <w:t xml:space="preserve">Requisito 1.1.1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4F1EA" w:sz="4"/>
              <w:left w:val="single" w:color="F4F1EA" w:sz="4"/>
              <w:bottom w:val="single" w:color="F4F1EA" w:sz="4"/>
              <w:right w:val="single" w:color="F4F1EA" w:sz="4"/>
            </w:tcBorders>
            <w:shd w:fill="F4F1EA" w:color="auto" w:val="clear"/>
            <w:tcMar>
              <w:top w:type="dxa" w:w="140"/>
              <w:left w:type="dxa" w:w="200"/>
              <w:bottom w:type="dxa" w:w="140"/>
              <w:right w:type="dxa" w:w="200"/>
            </w:tcMar>
          </w:tcPr>
          <w:p>
            <w:pPr>
              <w:spacing w:after="80"/>
            </w:pPr>
            <w:r>
              <w:rPr>
                <w:rFonts w:ascii="Calibri" w:cs="Calibri" w:eastAsia="Calibri" w:hAnsi="Calibri"/>
                <w:b/>
                <w:bCs/>
                <w:color w:val="8A6620"/>
              </w:rPr>
              <w:t xml:space="preserve">Reg. Exec. 2024/2690, anexo, ponto 1.1.1</w:t>
            </w:r>
          </w:p>
          <w:p>
            <w:pPr>
              <w:spacing w:after="60" w:line="276"/>
            </w:pPr>
            <w:r>
              <w:rPr>
                <w:rFonts w:ascii="Calibri" w:cs="Calibri" w:eastAsia="Calibri" w:hAnsi="Calibri"/>
              </w:rPr>
              <w:t xml:space="preserve">Para efeitos do artigo 21.º, n.º 2, alínea a), da Diretiva (UE) 2022/2555, a política de segurança dos sistemas de rede e informação deve:</w:t>
            </w:r>
          </w:p>
          <w:p>
            <w:pPr>
              <w:spacing w:after="60" w:line="276"/>
            </w:pPr>
            <w:r>
              <w:rPr>
                <w:rFonts w:ascii="Calibri" w:cs="Calibri" w:eastAsia="Calibri" w:hAnsi="Calibri"/>
              </w:rPr>
              <w:t xml:space="preserve">(a) Definir a abordagem das entidades pertinentes no que toca à gestão da segurança dos seus sistemas de rede e informação;</w:t>
            </w:r>
          </w:p>
          <w:p>
            <w:pPr>
              <w:spacing w:after="60" w:line="276"/>
            </w:pPr>
            <w:r>
              <w:rPr>
                <w:rFonts w:ascii="Calibri" w:cs="Calibri" w:eastAsia="Calibri" w:hAnsi="Calibri"/>
              </w:rPr>
              <w:t xml:space="preserve">(b) Ser adequada e complementar em relação à estratégia e aos objetivos empresariais das entidades pertinentes;</w:t>
            </w:r>
          </w:p>
          <w:p>
            <w:pPr>
              <w:spacing w:after="60" w:line="276"/>
            </w:pPr>
            <w:r>
              <w:rPr>
                <w:rFonts w:ascii="Calibri" w:cs="Calibri" w:eastAsia="Calibri" w:hAnsi="Calibri"/>
              </w:rPr>
              <w:t xml:space="preserve">(c) Definir objetivos em matéria de segurança das redes e da informação;</w:t>
            </w:r>
          </w:p>
          <w:p>
            <w:pPr>
              <w:spacing w:after="60" w:line="276"/>
            </w:pPr>
            <w:r>
              <w:rPr>
                <w:rFonts w:ascii="Calibri" w:cs="Calibri" w:eastAsia="Calibri" w:hAnsi="Calibri"/>
              </w:rPr>
              <w:t xml:space="preserve">(d) Incluir um compromisso de melhoria contínua da segurança dos sistemas de rede e informação;</w:t>
            </w:r>
          </w:p>
          <w:p>
            <w:pPr>
              <w:spacing w:after="60" w:line="276"/>
            </w:pPr>
            <w:r>
              <w:rPr>
                <w:rFonts w:ascii="Calibri" w:cs="Calibri" w:eastAsia="Calibri" w:hAnsi="Calibri"/>
              </w:rPr>
              <w:t xml:space="preserve">(e) Incluir um compromisso relativo à disponibilização dos recursos adequados necessários à sua execução, incluindo o pessoal, os recursos financeiros, os processos, as ferramentas e as tecnologias necessários;</w:t>
            </w:r>
          </w:p>
          <w:p>
            <w:pPr>
              <w:spacing w:after="60" w:line="276"/>
            </w:pPr>
            <w:r>
              <w:rPr>
                <w:rFonts w:ascii="Calibri" w:cs="Calibri" w:eastAsia="Calibri" w:hAnsi="Calibri"/>
              </w:rPr>
              <w:t xml:space="preserve">(f) Ser comunicada aos trabalhadores pertinentes e às partes externas interessadas pertinentes, e por eles reconhecida;</w:t>
            </w:r>
          </w:p>
          <w:p>
            <w:pPr>
              <w:spacing w:after="60" w:line="276"/>
            </w:pPr>
            <w:r>
              <w:rPr>
                <w:rFonts w:ascii="Calibri" w:cs="Calibri" w:eastAsia="Calibri" w:hAnsi="Calibri"/>
              </w:rPr>
              <w:t xml:space="preserve">(g) Definir as funções e responsabilidades, nos termos do ponto 1.2;</w:t>
            </w:r>
          </w:p>
          <w:p>
            <w:pPr>
              <w:spacing w:after="60" w:line="276"/>
            </w:pPr>
            <w:r>
              <w:rPr>
                <w:rFonts w:ascii="Calibri" w:cs="Calibri" w:eastAsia="Calibri" w:hAnsi="Calibri"/>
              </w:rPr>
              <w:t xml:space="preserve">(h) Enumerar a documentação a conservar e o respetivo período de conservação;</w:t>
            </w:r>
          </w:p>
          <w:p>
            <w:pPr>
              <w:spacing w:after="60" w:line="276"/>
            </w:pPr>
            <w:r>
              <w:rPr>
                <w:rFonts w:ascii="Calibri" w:cs="Calibri" w:eastAsia="Calibri" w:hAnsi="Calibri"/>
              </w:rPr>
              <w:t xml:space="preserve">(i) Enumerar as políticas temáticas;</w:t>
            </w:r>
          </w:p>
          <w:p>
            <w:pPr>
              <w:spacing w:after="60" w:line="276"/>
            </w:pPr>
            <w:r>
              <w:rPr>
                <w:rFonts w:ascii="Calibri" w:cs="Calibri" w:eastAsia="Calibri" w:hAnsi="Calibri"/>
              </w:rPr>
              <w:t xml:space="preserve">(j) Estabelecer indicadores e medidas para acompanhar a sua aplicação e o estado atual do nível de maturidade das entidades pertinentes em termos de segurança das redes e da informação;</w:t>
            </w:r>
          </w:p>
          <w:p>
            <w:pPr>
              <w:spacing w:after="60" w:line="276"/>
            </w:pPr>
            <w:r>
              <w:rPr>
                <w:rFonts w:ascii="Calibri" w:cs="Calibri" w:eastAsia="Calibri" w:hAnsi="Calibri"/>
              </w:rPr>
              <w:t xml:space="preserve">(k) Indicar a data da aprovação formal pelos órgãos de direção das entidades pertinentes («órgãos de direção»).</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trPr>
        <w:tc>
          <w:tcPr>
            <w:tcW w:type="dxa" w:w="9638"/>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Como a entidade cumpre (texto da política)</w:t>
            </w:r>
          </w:p>
        </w:tc>
      </w:tr>
      <w:tr>
        <w:trPr>
          <w:cantSplit/>
        </w:trPr>
        <w:tc>
          <w:tcPr>
            <w:tcW w:type="dxa" w:w="963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2"/>
      </w:pPr>
      <w:r>
        <w:rPr>
          <w:rFonts w:ascii="Calibri" w:cs="Calibri" w:eastAsia="Calibri" w:hAnsi="Calibri"/>
        </w:rPr>
        <w:t xml:space="preserve">Requisito 1.1.2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4F1EA" w:sz="4"/>
              <w:left w:val="single" w:color="F4F1EA" w:sz="4"/>
              <w:bottom w:val="single" w:color="F4F1EA" w:sz="4"/>
              <w:right w:val="single" w:color="F4F1EA" w:sz="4"/>
            </w:tcBorders>
            <w:shd w:fill="F4F1EA" w:color="auto" w:val="clear"/>
            <w:tcMar>
              <w:top w:type="dxa" w:w="140"/>
              <w:left w:type="dxa" w:w="200"/>
              <w:bottom w:type="dxa" w:w="140"/>
              <w:right w:type="dxa" w:w="200"/>
            </w:tcMar>
          </w:tcPr>
          <w:p>
            <w:pPr>
              <w:spacing w:after="80"/>
            </w:pPr>
            <w:r>
              <w:rPr>
                <w:rFonts w:ascii="Calibri" w:cs="Calibri" w:eastAsia="Calibri" w:hAnsi="Calibri"/>
                <w:b/>
                <w:bCs/>
                <w:color w:val="8A6620"/>
              </w:rPr>
              <w:t xml:space="preserve">Reg. Exec. 2024/2690, anexo, ponto 1.1.2</w:t>
            </w:r>
          </w:p>
          <w:p>
            <w:pPr>
              <w:spacing w:after="60" w:line="276"/>
            </w:pPr>
            <w:r>
              <w:rPr>
                <w:rFonts w:ascii="Calibri" w:cs="Calibri" w:eastAsia="Calibri" w:hAnsi="Calibri"/>
              </w:rPr>
              <w:t xml:space="preserve">A política de segurança do sistema de rede e informação deve ser analisada e, se for caso disso, atualizada pelos órgãos de direção pelo menos anualmente e sempre que ocorram incidentes significativos ou alterações significativas das operações ou dos riscos. O resultado das análises deve ser documentado.</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trPr>
        <w:tc>
          <w:tcPr>
            <w:tcW w:type="dxa" w:w="9638"/>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Como a entidade cumpre (texto da política)</w:t>
            </w:r>
          </w:p>
        </w:tc>
      </w:tr>
      <w:tr>
        <w:trPr>
          <w:cantSplit/>
        </w:trPr>
        <w:tc>
          <w:tcPr>
            <w:tcW w:type="dxa" w:w="963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2"/>
      </w:pPr>
      <w:r>
        <w:rPr>
          <w:rFonts w:ascii="Calibri" w:cs="Calibri" w:eastAsia="Calibri" w:hAnsi="Calibri"/>
        </w:rPr>
        <w:t xml:space="preserve">Requisito 1.2.1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4F1EA" w:sz="4"/>
              <w:left w:val="single" w:color="F4F1EA" w:sz="4"/>
              <w:bottom w:val="single" w:color="F4F1EA" w:sz="4"/>
              <w:right w:val="single" w:color="F4F1EA" w:sz="4"/>
            </w:tcBorders>
            <w:shd w:fill="F4F1EA" w:color="auto" w:val="clear"/>
            <w:tcMar>
              <w:top w:type="dxa" w:w="140"/>
              <w:left w:type="dxa" w:w="200"/>
              <w:bottom w:type="dxa" w:w="140"/>
              <w:right w:type="dxa" w:w="200"/>
            </w:tcMar>
          </w:tcPr>
          <w:p>
            <w:pPr>
              <w:spacing w:after="80"/>
            </w:pPr>
            <w:r>
              <w:rPr>
                <w:rFonts w:ascii="Calibri" w:cs="Calibri" w:eastAsia="Calibri" w:hAnsi="Calibri"/>
                <w:b/>
                <w:bCs/>
                <w:color w:val="8A6620"/>
              </w:rPr>
              <w:t xml:space="preserve">Reg. Exec. 2024/2690, anexo, ponto 1.2.1</w:t>
            </w:r>
          </w:p>
          <w:p>
            <w:pPr>
              <w:spacing w:after="60" w:line="276"/>
            </w:pPr>
            <w:r>
              <w:rPr>
                <w:rFonts w:ascii="Calibri" w:cs="Calibri" w:eastAsia="Calibri" w:hAnsi="Calibri"/>
              </w:rPr>
              <w:t xml:space="preserve">No âmbito da sua política de segurança dos sistemas de rede e informação a que se refere o ponto 1.1, as entidades pertinentes definem as responsabilidades e as autoridades em matéria de segurança do sistema de rede e informação, atribuem-nas a funções, distribuem-nas de acordo com as necessidades das entidades pertinentes e comunicam-nas aos órgãos de direção.</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trPr>
        <w:tc>
          <w:tcPr>
            <w:tcW w:type="dxa" w:w="9638"/>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Como a entidade cumpre (texto da política)</w:t>
            </w:r>
          </w:p>
        </w:tc>
      </w:tr>
      <w:tr>
        <w:trPr>
          <w:cantSplit/>
        </w:trPr>
        <w:tc>
          <w:tcPr>
            <w:tcW w:type="dxa" w:w="963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2"/>
      </w:pPr>
      <w:r>
        <w:rPr>
          <w:rFonts w:ascii="Calibri" w:cs="Calibri" w:eastAsia="Calibri" w:hAnsi="Calibri"/>
        </w:rPr>
        <w:t xml:space="preserve">Requisito 1.2.2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4F1EA" w:sz="4"/>
              <w:left w:val="single" w:color="F4F1EA" w:sz="4"/>
              <w:bottom w:val="single" w:color="F4F1EA" w:sz="4"/>
              <w:right w:val="single" w:color="F4F1EA" w:sz="4"/>
            </w:tcBorders>
            <w:shd w:fill="F4F1EA" w:color="auto" w:val="clear"/>
            <w:tcMar>
              <w:top w:type="dxa" w:w="140"/>
              <w:left w:type="dxa" w:w="200"/>
              <w:bottom w:type="dxa" w:w="140"/>
              <w:right w:type="dxa" w:w="200"/>
            </w:tcMar>
          </w:tcPr>
          <w:p>
            <w:pPr>
              <w:spacing w:after="80"/>
            </w:pPr>
            <w:r>
              <w:rPr>
                <w:rFonts w:ascii="Calibri" w:cs="Calibri" w:eastAsia="Calibri" w:hAnsi="Calibri"/>
                <w:b/>
                <w:bCs/>
                <w:color w:val="8A6620"/>
              </w:rPr>
              <w:t xml:space="preserve">Reg. Exec. 2024/2690, anexo, ponto 1.2.2</w:t>
            </w:r>
          </w:p>
          <w:p>
            <w:pPr>
              <w:spacing w:after="60" w:line="276"/>
            </w:pPr>
            <w:r>
              <w:rPr>
                <w:rFonts w:ascii="Calibri" w:cs="Calibri" w:eastAsia="Calibri" w:hAnsi="Calibri"/>
              </w:rPr>
              <w:t xml:space="preserve">As entidades pertinentes exigem que todo o pessoal e terceiros implementem a segurança do sistema de rede e informação em conformidade com a política de segurança das redes e da informação estabelecida, com as políticas temáticas e com os procedimentos das entidades pertinentes.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trPr>
        <w:tc>
          <w:tcPr>
            <w:tcW w:type="dxa" w:w="9638"/>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Como a entidade cumpre (texto da política)</w:t>
            </w:r>
          </w:p>
        </w:tc>
      </w:tr>
      <w:tr>
        <w:trPr>
          <w:cantSplit/>
        </w:trPr>
        <w:tc>
          <w:tcPr>
            <w:tcW w:type="dxa" w:w="963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2"/>
      </w:pPr>
      <w:r>
        <w:rPr>
          <w:rFonts w:ascii="Calibri" w:cs="Calibri" w:eastAsia="Calibri" w:hAnsi="Calibri"/>
        </w:rPr>
        <w:t xml:space="preserve">Requisito 1.2.3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4F1EA" w:sz="4"/>
              <w:left w:val="single" w:color="F4F1EA" w:sz="4"/>
              <w:bottom w:val="single" w:color="F4F1EA" w:sz="4"/>
              <w:right w:val="single" w:color="F4F1EA" w:sz="4"/>
            </w:tcBorders>
            <w:shd w:fill="F4F1EA" w:color="auto" w:val="clear"/>
            <w:tcMar>
              <w:top w:type="dxa" w:w="140"/>
              <w:left w:type="dxa" w:w="200"/>
              <w:bottom w:type="dxa" w:w="140"/>
              <w:right w:type="dxa" w:w="200"/>
            </w:tcMar>
          </w:tcPr>
          <w:p>
            <w:pPr>
              <w:spacing w:after="80"/>
            </w:pPr>
            <w:r>
              <w:rPr>
                <w:rFonts w:ascii="Calibri" w:cs="Calibri" w:eastAsia="Calibri" w:hAnsi="Calibri"/>
                <w:b/>
                <w:bCs/>
                <w:color w:val="8A6620"/>
              </w:rPr>
              <w:t xml:space="preserve">Reg. Exec. 2024/2690, anexo, ponto 1.2.3</w:t>
            </w:r>
          </w:p>
          <w:p>
            <w:pPr>
              <w:spacing w:after="60" w:line="276"/>
            </w:pPr>
            <w:r>
              <w:rPr>
                <w:rFonts w:ascii="Calibri" w:cs="Calibri" w:eastAsia="Calibri" w:hAnsi="Calibri"/>
              </w:rPr>
              <w:t xml:space="preserve">Pelo menos uma pessoa deve responder diretamente perante os órgãos de direção no que se refere a questões de segurança do sistema de rede e informação.</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trPr>
        <w:tc>
          <w:tcPr>
            <w:tcW w:type="dxa" w:w="9638"/>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Como a entidade cumpre (texto da política)</w:t>
            </w:r>
          </w:p>
        </w:tc>
      </w:tr>
      <w:tr>
        <w:trPr>
          <w:cantSplit/>
        </w:trPr>
        <w:tc>
          <w:tcPr>
            <w:tcW w:type="dxa" w:w="963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2"/>
      </w:pPr>
      <w:r>
        <w:rPr>
          <w:rFonts w:ascii="Calibri" w:cs="Calibri" w:eastAsia="Calibri" w:hAnsi="Calibri"/>
        </w:rPr>
        <w:t xml:space="preserve">Requisito 1.2.4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4F1EA" w:sz="4"/>
              <w:left w:val="single" w:color="F4F1EA" w:sz="4"/>
              <w:bottom w:val="single" w:color="F4F1EA" w:sz="4"/>
              <w:right w:val="single" w:color="F4F1EA" w:sz="4"/>
            </w:tcBorders>
            <w:shd w:fill="F4F1EA" w:color="auto" w:val="clear"/>
            <w:tcMar>
              <w:top w:type="dxa" w:w="140"/>
              <w:left w:type="dxa" w:w="200"/>
              <w:bottom w:type="dxa" w:w="140"/>
              <w:right w:type="dxa" w:w="200"/>
            </w:tcMar>
          </w:tcPr>
          <w:p>
            <w:pPr>
              <w:spacing w:after="80"/>
            </w:pPr>
            <w:r>
              <w:rPr>
                <w:rFonts w:ascii="Calibri" w:cs="Calibri" w:eastAsia="Calibri" w:hAnsi="Calibri"/>
                <w:b/>
                <w:bCs/>
                <w:color w:val="8A6620"/>
              </w:rPr>
              <w:t xml:space="preserve">Reg. Exec. 2024/2690, anexo, ponto 1.2.4</w:t>
            </w:r>
          </w:p>
          <w:p>
            <w:pPr>
              <w:spacing w:after="60" w:line="276"/>
            </w:pPr>
            <w:r>
              <w:rPr>
                <w:rFonts w:ascii="Calibri" w:cs="Calibri" w:eastAsia="Calibri" w:hAnsi="Calibri"/>
              </w:rPr>
              <w:t xml:space="preserve">Em função da dimensão das entidades pertinentes, a segurança do sistema de rede e informação deve ser abrangida por funções ou deveres específicos desempenhados de forma complementar às funções existentes.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trPr>
        <w:tc>
          <w:tcPr>
            <w:tcW w:type="dxa" w:w="9638"/>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Como a entidade cumpre (texto da política)</w:t>
            </w:r>
          </w:p>
        </w:tc>
      </w:tr>
      <w:tr>
        <w:trPr>
          <w:cantSplit/>
        </w:trPr>
        <w:tc>
          <w:tcPr>
            <w:tcW w:type="dxa" w:w="963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2"/>
      </w:pPr>
      <w:r>
        <w:rPr>
          <w:rFonts w:ascii="Calibri" w:cs="Calibri" w:eastAsia="Calibri" w:hAnsi="Calibri"/>
        </w:rPr>
        <w:t xml:space="preserve">Requisito 1.2.5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4F1EA" w:sz="4"/>
              <w:left w:val="single" w:color="F4F1EA" w:sz="4"/>
              <w:bottom w:val="single" w:color="F4F1EA" w:sz="4"/>
              <w:right w:val="single" w:color="F4F1EA" w:sz="4"/>
            </w:tcBorders>
            <w:shd w:fill="F4F1EA" w:color="auto" w:val="clear"/>
            <w:tcMar>
              <w:top w:type="dxa" w:w="140"/>
              <w:left w:type="dxa" w:w="200"/>
              <w:bottom w:type="dxa" w:w="140"/>
              <w:right w:type="dxa" w:w="200"/>
            </w:tcMar>
          </w:tcPr>
          <w:p>
            <w:pPr>
              <w:spacing w:after="80"/>
            </w:pPr>
            <w:r>
              <w:rPr>
                <w:rFonts w:ascii="Calibri" w:cs="Calibri" w:eastAsia="Calibri" w:hAnsi="Calibri"/>
                <w:b/>
                <w:bCs/>
                <w:color w:val="8A6620"/>
              </w:rPr>
              <w:t xml:space="preserve">Reg. Exec. 2024/2690, anexo, ponto 1.2.5</w:t>
            </w:r>
          </w:p>
          <w:p>
            <w:pPr>
              <w:spacing w:after="60" w:line="276"/>
            </w:pPr>
            <w:r>
              <w:rPr>
                <w:rFonts w:ascii="Calibri" w:cs="Calibri" w:eastAsia="Calibri" w:hAnsi="Calibri"/>
              </w:rPr>
              <w:t xml:space="preserve">Quando aplicável, deve assegurar-se a separação dos deveres e das áreas de responsabilidade conflituantes.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trPr>
        <w:tc>
          <w:tcPr>
            <w:tcW w:type="dxa" w:w="9638"/>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Como a entidade cumpre (texto da política)</w:t>
            </w:r>
          </w:p>
        </w:tc>
      </w:tr>
      <w:tr>
        <w:trPr>
          <w:cantSplit/>
        </w:trPr>
        <w:tc>
          <w:tcPr>
            <w:tcW w:type="dxa" w:w="963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2"/>
      </w:pPr>
      <w:r>
        <w:rPr>
          <w:rFonts w:ascii="Calibri" w:cs="Calibri" w:eastAsia="Calibri" w:hAnsi="Calibri"/>
        </w:rPr>
        <w:t xml:space="preserve">Requisito 1.2.6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4F1EA" w:sz="4"/>
              <w:left w:val="single" w:color="F4F1EA" w:sz="4"/>
              <w:bottom w:val="single" w:color="F4F1EA" w:sz="4"/>
              <w:right w:val="single" w:color="F4F1EA" w:sz="4"/>
            </w:tcBorders>
            <w:shd w:fill="F4F1EA" w:color="auto" w:val="clear"/>
            <w:tcMar>
              <w:top w:type="dxa" w:w="140"/>
              <w:left w:type="dxa" w:w="200"/>
              <w:bottom w:type="dxa" w:w="140"/>
              <w:right w:type="dxa" w:w="200"/>
            </w:tcMar>
          </w:tcPr>
          <w:p>
            <w:pPr>
              <w:spacing w:after="80"/>
            </w:pPr>
            <w:r>
              <w:rPr>
                <w:rFonts w:ascii="Calibri" w:cs="Calibri" w:eastAsia="Calibri" w:hAnsi="Calibri"/>
                <w:b/>
                <w:bCs/>
                <w:color w:val="8A6620"/>
              </w:rPr>
              <w:t xml:space="preserve">Reg. Exec. 2024/2690, anexo, ponto 1.2.6</w:t>
            </w:r>
          </w:p>
          <w:p>
            <w:pPr>
              <w:spacing w:after="60" w:line="276"/>
            </w:pPr>
            <w:r>
              <w:rPr>
                <w:rFonts w:ascii="Calibri" w:cs="Calibri" w:eastAsia="Calibri" w:hAnsi="Calibri"/>
              </w:rPr>
              <w:t xml:space="preserve">As funções, as responsabilidades e as autoridades devem ser analisadas e, se for caso disso, atualizadas pelos órgãos de direção a intervalos planeados e sempre que ocorram incidentes significativos ou alterações significativas das operações ou dos riscos.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trPr>
        <w:tc>
          <w:tcPr>
            <w:tcW w:type="dxa" w:w="9638"/>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Como a entidade cumpre (texto da política)</w:t>
            </w:r>
          </w:p>
        </w:tc>
      </w:tr>
      <w:tr>
        <w:trPr>
          <w:cantSplit/>
        </w:trPr>
        <w:tc>
          <w:tcPr>
            <w:tcW w:type="dxa" w:w="963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662"/>
        <w:gridCol w:w="1542"/>
        <w:gridCol w:w="2314"/>
      </w:tblGrid>
      <w:tr>
        <w:trPr>
          <w:tblHeader/>
        </w:trPr>
        <w:tc>
          <w:tcPr>
            <w:tcW w:type="dxa" w:w="212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Função</w:t>
            </w:r>
          </w:p>
        </w:tc>
        <w:tc>
          <w:tcPr>
            <w:tcW w:type="dxa" w:w="3662"/>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Nome e cargo</w:t>
            </w:r>
          </w:p>
        </w:tc>
        <w:tc>
          <w:tcPr>
            <w:tcW w:type="dxa" w:w="1542"/>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Data</w:t>
            </w:r>
          </w:p>
        </w:tc>
        <w:tc>
          <w:tcPr>
            <w:tcW w:type="dxa" w:w="2314"/>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Assinatura</w:t>
            </w: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Elaborado por</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31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Aprovado pelo órgão de gestão</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31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1"/>
        <w:pageBreakBefore/>
      </w:pPr>
      <w:r>
        <w:rPr>
          <w:rFonts w:ascii="Calibri" w:cs="Calibri" w:eastAsia="Calibri" w:hAnsi="Calibri"/>
        </w:rPr>
        <w:t xml:space="preserve">N3 · Relatório de conformidade com o art. 21.º, n.º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Elemento</w:t>
            </w:r>
          </w:p>
        </w:tc>
        <w:tc>
          <w:tcPr>
            <w:tcW w:type="dxa" w:w="6747"/>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Indicação</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Base legal</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Diretiva NIS2, art. 21.º, n.º 2; Reg. Exec. 2024/2690, anexo</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Uso</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Resumo para o órgão de gestão. O detalhe dos 161 requisitos está no livro Excel deste referencial</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4F1EA" w:sz="4"/>
              <w:left w:val="single" w:color="F4F1EA" w:sz="4"/>
              <w:bottom w:val="single" w:color="F4F1EA" w:sz="4"/>
              <w:right w:val="single" w:color="F4F1EA" w:sz="4"/>
            </w:tcBorders>
            <w:shd w:fill="F4F1EA" w:color="auto" w:val="clear"/>
            <w:tcMar>
              <w:top w:type="dxa" w:w="140"/>
              <w:left w:type="dxa" w:w="200"/>
              <w:bottom w:type="dxa" w:w="140"/>
              <w:right w:type="dxa" w:w="200"/>
            </w:tcMar>
          </w:tcPr>
          <w:p>
            <w:pPr>
              <w:spacing w:after="80"/>
            </w:pPr>
            <w:r>
              <w:rPr>
                <w:rFonts w:ascii="Calibri" w:cs="Calibri" w:eastAsia="Calibri" w:hAnsi="Calibri"/>
                <w:b/>
                <w:bCs/>
                <w:color w:val="8A6620"/>
              </w:rPr>
              <w:t xml:space="preserve">Diretiva NIS2, art. 21.º, n.º 2</w:t>
            </w:r>
          </w:p>
          <w:p>
            <w:pPr>
              <w:spacing w:after="60" w:line="276"/>
            </w:pPr>
            <w:r>
              <w:rPr>
                <w:rFonts w:ascii="Calibri" w:cs="Calibri" w:eastAsia="Calibri" w:hAnsi="Calibri"/>
              </w:rPr>
              <w:t xml:space="preserve">2. As medidas referidas no n.º 1 devem basear-se numa abordagem que abranja todos os riscos e que vise proteger os sistemas de rede e informação, bem como o seu ambiente físico contra incidentes, e devem abranger pelo menos os seguintes aspetos: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2891"/>
        <w:gridCol w:w="1157"/>
        <w:gridCol w:w="2120"/>
      </w:tblGrid>
      <w:tr>
        <w:trPr>
          <w:tblHeader/>
        </w:trPr>
        <w:tc>
          <w:tcPr>
            <w:tcW w:type="dxa" w:w="347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Medida (art. 21.º, n.º 2)</w:t>
            </w:r>
          </w:p>
        </w:tc>
        <w:tc>
          <w:tcPr>
            <w:tcW w:type="dxa" w:w="289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Pontos do anexo 2024/2690</w:t>
            </w:r>
          </w:p>
        </w:tc>
        <w:tc>
          <w:tcPr>
            <w:tcW w:type="dxa" w:w="1157"/>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Estado</w:t>
            </w:r>
          </w:p>
        </w:tc>
        <w:tc>
          <w:tcPr>
            <w:tcW w:type="dxa" w:w="212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Evidência</w:t>
            </w:r>
          </w:p>
        </w:tc>
      </w:tr>
      <w:tr>
        <w:trPr>
          <w:cantSplit/>
        </w:trPr>
        <w:tc>
          <w:tcPr>
            <w:tcW w:type="dxa" w:w="347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Políticas de análise dos riscos e de segurança dos sistemas de informação</w:t>
            </w:r>
          </w:p>
        </w:tc>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1. Política de segurança dos sistemas de rede e informação</w:t>
            </w:r>
          </w:p>
          <w:p>
            <w:pPr>
              <w:spacing w:after="40"/>
            </w:pPr>
            <w:r>
              <w:rPr>
                <w:rFonts w:ascii="Calibri" w:cs="Calibri" w:eastAsia="Calibri" w:hAnsi="Calibri"/>
              </w:rPr>
              <w:t xml:space="preserve">2. Política de gestão dos riscos</w:t>
            </w: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347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Tratamento de incidentes</w:t>
            </w:r>
          </w:p>
        </w:tc>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3. Tratamento de incidentes</w:t>
            </w: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347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 Continuidade das atividades, como a gestão de cópias de segurança e a recuperação de desastres, e gestão de crises</w:t>
            </w:r>
          </w:p>
        </w:tc>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4. Continuidade das atividades e gestão de crises</w:t>
            </w:r>
          </w:p>
          <w:p>
            <w:pPr>
              <w:spacing w:after="40"/>
            </w:pPr>
            <w:r>
              <w:rPr>
                <w:rFonts w:ascii="Calibri" w:cs="Calibri" w:eastAsia="Calibri" w:hAnsi="Calibri"/>
              </w:rPr>
              <w:t xml:space="preserve">13. Segurança ambiental e física</w:t>
            </w: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347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 Segurança da cadeia de abastecimento, incluindo aspetos de segurança respeitantes às relações entre cada entidade e os respetivos fornecedores ou prestadores de serviços diretos</w:t>
            </w:r>
          </w:p>
        </w:tc>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5. Segurança da cadeia de abastecimento</w:t>
            </w: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347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 Segurança na aquisição, desenvolvimento e manutenção dos sistemas de rede e informação, incluindo o tratamento e a divulgação de vulnerabilidades</w:t>
            </w:r>
          </w:p>
        </w:tc>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6. Segurança na aquisição, desenvolvimento e manutenção dos sistemas de rede e informação</w:t>
            </w:r>
          </w:p>
          <w:p>
            <w:pPr>
              <w:spacing w:after="40"/>
            </w:pPr>
            <w:r>
              <w:rPr>
                <w:rFonts w:ascii="Calibri" w:cs="Calibri" w:eastAsia="Calibri" w:hAnsi="Calibri"/>
              </w:rPr>
              <w:t xml:space="preserve">13. Segurança ambiental e física</w:t>
            </w: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347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f) Políticas e procedimentos para avaliar a eficácia das medidas de gestão dos riscos de cibersegurança</w:t>
            </w:r>
          </w:p>
        </w:tc>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7. Políticas e procedimentos para avaliar a eficácia das medidas de gestão dos riscos de cibersegurança</w:t>
            </w: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347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g) Práticas básicas de ciber-higiene e formação em cibersegurança</w:t>
            </w:r>
          </w:p>
        </w:tc>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8. Práticas básicas de ciber-higiene e formação em cibersegurança</w:t>
            </w: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347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h) Políticas e procedimentos relativos à utilização de criptografia e, se for caso disso, de cifragem</w:t>
            </w:r>
          </w:p>
        </w:tc>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9. Criptografia</w:t>
            </w: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347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i) Segurança dos recursos humanos, políticas seguidas em matéria de controlo do acesso e gestão de ativos</w:t>
            </w:r>
          </w:p>
        </w:tc>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10. Segurança dos recursos humanos</w:t>
            </w:r>
          </w:p>
          <w:p>
            <w:pPr>
              <w:spacing w:after="40"/>
            </w:pPr>
            <w:r>
              <w:rPr>
                <w:rFonts w:ascii="Calibri" w:cs="Calibri" w:eastAsia="Calibri" w:hAnsi="Calibri"/>
              </w:rPr>
              <w:t xml:space="preserve">11. Controlo do acesso</w:t>
            </w:r>
          </w:p>
          <w:p>
            <w:pPr>
              <w:spacing w:after="40"/>
            </w:pPr>
            <w:r>
              <w:rPr>
                <w:rFonts w:ascii="Calibri" w:cs="Calibri" w:eastAsia="Calibri" w:hAnsi="Calibri"/>
              </w:rPr>
              <w:t xml:space="preserve">12. Gestão de ativos</w:t>
            </w:r>
          </w:p>
          <w:p>
            <w:pPr>
              <w:spacing w:after="40"/>
            </w:pPr>
            <w:r>
              <w:rPr>
                <w:rFonts w:ascii="Calibri" w:cs="Calibri" w:eastAsia="Calibri" w:hAnsi="Calibri"/>
              </w:rPr>
              <w:t xml:space="preserve">13. Segurança ambiental e física</w:t>
            </w: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347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j) Utilização de soluções de autenticação multifatores ou de autenticação contínua, comunicações seguras de voz, vídeo e texto e sistemas seguros de comunicações de emergência no seio da entidade, se for caso disso</w:t>
            </w:r>
          </w:p>
        </w:tc>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11. Controlo do acesso</w:t>
            </w: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662"/>
        <w:gridCol w:w="1542"/>
        <w:gridCol w:w="2314"/>
      </w:tblGrid>
      <w:tr>
        <w:trPr>
          <w:tblHeader/>
        </w:trPr>
        <w:tc>
          <w:tcPr>
            <w:tcW w:type="dxa" w:w="212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Função</w:t>
            </w:r>
          </w:p>
        </w:tc>
        <w:tc>
          <w:tcPr>
            <w:tcW w:type="dxa" w:w="3662"/>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Nome e cargo</w:t>
            </w:r>
          </w:p>
        </w:tc>
        <w:tc>
          <w:tcPr>
            <w:tcW w:type="dxa" w:w="1542"/>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Data</w:t>
            </w:r>
          </w:p>
        </w:tc>
        <w:tc>
          <w:tcPr>
            <w:tcW w:type="dxa" w:w="2314"/>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Assinatura</w:t>
            </w: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Preparado por</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31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Apresentado ao órgão de gestão</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31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sectPr>
      <w:headerReference w:type="default" r:id="rId6"/>
      <w:footerReference w:type="default" r:id="rId7"/>
      <w:pgSz w:w="11906" w:h="16838" w:orient="portrait"/>
      <w:pgMar w:top="1300"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474"/>
        <w:sz w:val="16"/>
        <w:szCs w:val="16"/>
      </w:rPr>
      <w:t xml:space="preserve">Página </w:t>
    </w:r>
    <w:r>
      <w:rPr>
        <w:rFonts w:ascii="Calibri" w:cs="Calibri" w:eastAsia="Calibri" w:hAnsi="Calibri"/>
        <w:color w:val="5B647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7" w:sz="4" w:space="6"/>
      </w:pBdr>
    </w:pPr>
    <w:r>
      <w:drawing>
        <wp:inline distT="0" distB="0" distL="0" distR="0">
          <wp:extent cx="1047750" cy="2381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47750" cy="238125"/>
                  </a:xfrm>
                  <a:prstGeom prst="rect">
                    <a:avLst/>
                  </a:prstGeom>
                </pic:spPr>
              </pic:pic>
            </a:graphicData>
          </a:graphic>
        </wp:inline>
      </w:drawing>
    </w:r>
    <w:r>
      <w:rPr>
        <w:rFonts w:ascii="Calibri" w:cs="Calibri" w:eastAsia="Calibri" w:hAnsi="Calibri"/>
        <w:color w:val="5B6474"/>
        <w:sz w:val="16"/>
        <w:szCs w:val="16"/>
      </w:rPr>
      <w:t xml:space="preserve">     Modelos NIS2 e Reg. 2024/2690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abstractNum w:abstractNumId="6" w15:restartNumberingAfterBreak="0">
    <w:multiLevelType w:val="hybridMultilevel"/>
    <w:lvl w:ilvl="0" w:tentative="1">
      <w:start w:val="1"/>
      <w:numFmt w:val="decimal"/>
      <w:lvlText w:val="%1."/>
      <w:lvlJc w:val="left"/>
      <w:pPr>
        <w:ind w:left="540" w:hanging="300"/>
      </w:pPr>
    </w:lvl>
  </w:abstractNum>
  <w:abstractNum w:abstractNumId="7" w15:restartNumberingAfterBreak="0">
    <w:multiLevelType w:val="hybridMultilevel"/>
    <w:lvl w:ilvl="0" w:tentative="1">
      <w:start w:val="1"/>
      <w:numFmt w:val="decimal"/>
      <w:lvlText w:val="%1."/>
      <w:lvlJc w:val="left"/>
      <w:pPr>
        <w:ind w:left="540" w:hanging="300"/>
      </w:pPr>
    </w:lvl>
  </w:abstractNum>
  <w:abstractNum w:abstractNumId="8" w15:restartNumberingAfterBreak="0">
    <w:multiLevelType w:val="hybridMultilevel"/>
    <w:lvl w:ilvl="0" w:tentative="1">
      <w:start w:val="1"/>
      <w:numFmt w:val="decimal"/>
      <w:lvlText w:val="%1."/>
      <w:lvlJc w:val="left"/>
      <w:pPr>
        <w:ind w:left="540" w:hanging="300"/>
      </w:pPr>
    </w:lvl>
  </w:abstractNum>
  <w:abstractNum w:abstractNumId="9" w15:restartNumberingAfterBreak="0">
    <w:multiLevelType w:val="hybridMultilevel"/>
    <w:lvl w:ilvl="0" w:tentative="1">
      <w:start w:val="1"/>
      <w:numFmt w:val="decimal"/>
      <w:lvlText w:val="%1."/>
      <w:lvlJc w:val="left"/>
      <w:pPr>
        <w:ind w:left="540" w:hanging="300"/>
      </w:pPr>
    </w:lvl>
  </w:abstractNum>
  <w:abstractNum w:abstractNumId="10" w15:restartNumberingAfterBreak="0">
    <w:multiLevelType w:val="hybridMultilevel"/>
    <w:lvl w:ilvl="0" w:tentative="1">
      <w:start w:val="1"/>
      <w:numFmt w:val="decimal"/>
      <w:lvlText w:val="%1."/>
      <w:lvlJc w:val="left"/>
      <w:pPr>
        <w:ind w:left="540" w:hanging="300"/>
      </w:pPr>
    </w:lvl>
  </w:abstractNum>
  <w:abstractNum w:abstractNumId="11" w15:restartNumberingAfterBreak="0">
    <w:multiLevelType w:val="hybridMultilevel"/>
    <w:lvl w:ilvl="0" w:tentative="1">
      <w:start w:val="1"/>
      <w:numFmt w:val="decimal"/>
      <w:lvlText w:val="%1."/>
      <w:lvlJc w:val="left"/>
      <w:pPr>
        <w:ind w:left="540" w:hanging="300"/>
      </w:pPr>
    </w:lvl>
  </w:abstractNum>
  <w:abstractNum w:abstractNumId="12" w15:restartNumberingAfterBreak="0">
    <w:multiLevelType w:val="hybridMultilevel"/>
    <w:lvl w:ilvl="0" w:tentative="1">
      <w:start w:val="1"/>
      <w:numFmt w:val="decimal"/>
      <w:lvlText w:val="%1."/>
      <w:lvlJc w:val="left"/>
      <w:pPr>
        <w:ind w:left="540" w:hanging="300"/>
      </w:pPr>
    </w:lvl>
  </w:abstractNum>
  <w:abstractNum w:abstractNumId="13" w15:restartNumberingAfterBreak="0">
    <w:multiLevelType w:val="hybridMultilevel"/>
    <w:lvl w:ilvl="0" w:tentative="1">
      <w:start w:val="1"/>
      <w:numFmt w:val="decimal"/>
      <w:lvlText w:val="%1."/>
      <w:lvlJc w:val="left"/>
      <w:pPr>
        <w:ind w:left="540" w:hanging="300"/>
      </w:pPr>
    </w:lvl>
  </w:abstractNum>
  <w:abstractNum w:abstractNumId="14" w15:restartNumberingAfterBreak="0">
    <w:multiLevelType w:val="hybridMultilevel"/>
    <w:lvl w:ilvl="0" w:tentative="1">
      <w:start w:val="1"/>
      <w:numFmt w:val="decimal"/>
      <w:lvlText w:val="%1."/>
      <w:lvlJc w:val="left"/>
      <w:pPr>
        <w:ind w:left="540" w:hanging="300"/>
      </w:pPr>
    </w:lvl>
  </w:abstractNum>
  <w:abstractNum w:abstractNumId="15" w15:restartNumberingAfterBreak="0">
    <w:multiLevelType w:val="hybridMultilevel"/>
    <w:lvl w:ilvl="0" w:tentative="1">
      <w:start w:val="1"/>
      <w:numFmt w:val="decimal"/>
      <w:lvlText w:val="%1."/>
      <w:lvlJc w:val="left"/>
      <w:pPr>
        <w:ind w:left="540" w:hanging="300"/>
      </w:pPr>
    </w:lvl>
  </w:abstractNum>
  <w:abstractNum w:abstractNumId="16" w15:restartNumberingAfterBreak="0">
    <w:multiLevelType w:val="hybridMultilevel"/>
    <w:lvl w:ilvl="0" w:tentative="1">
      <w:start w:val="1"/>
      <w:numFmt w:val="decimal"/>
      <w:lvlText w:val="%1."/>
      <w:lvlJc w:val="left"/>
      <w:pPr>
        <w:ind w:left="540" w:hanging="300"/>
      </w:pPr>
    </w:lvl>
  </w:abstractNum>
  <w:abstractNum w:abstractNumId="17" w15:restartNumberingAfterBreak="0">
    <w:multiLevelType w:val="hybridMultilevel"/>
    <w:lvl w:ilvl="0" w:tentative="1">
      <w:start w:val="1"/>
      <w:numFmt w:val="decimal"/>
      <w:lvlText w:val="%1."/>
      <w:lvlJc w:val="left"/>
      <w:pPr>
        <w:ind w:left="540" w:hanging="300"/>
      </w:pPr>
    </w:lvl>
  </w:abstractNum>
  <w:abstractNum w:abstractNumId="18" w15:restartNumberingAfterBreak="0">
    <w:multiLevelType w:val="hybridMultilevel"/>
    <w:lvl w:ilvl="0" w:tentative="1">
      <w:start w:val="1"/>
      <w:numFmt w:val="decimal"/>
      <w:lvlText w:val="%1."/>
      <w:lvlJc w:val="left"/>
      <w:pPr>
        <w:ind w:left="540" w:hanging="300"/>
      </w:pPr>
    </w:lvl>
  </w:abstractNum>
  <w:abstractNum w:abstractNumId="19" w15:restartNumberingAfterBreak="0">
    <w:multiLevelType w:val="hybridMultilevel"/>
    <w:lvl w:ilvl="0" w:tentative="1">
      <w:start w:val="1"/>
      <w:numFmt w:val="decimal"/>
      <w:lvlText w:val="%1."/>
      <w:lvlJc w:val="left"/>
      <w:pPr>
        <w:ind w:left="540" w:hanging="300"/>
      </w:pPr>
    </w:lvl>
  </w:abstractNum>
  <w:abstractNum w:abstractNumId="20" w15:restartNumberingAfterBreak="0">
    <w:multiLevelType w:val="hybridMultilevel"/>
    <w:lvl w:ilvl="0" w:tentative="1">
      <w:start w:val="1"/>
      <w:numFmt w:val="decimal"/>
      <w:lvlText w:val="%1."/>
      <w:lvlJc w:val="left"/>
      <w:pPr>
        <w:ind w:left="540" w:hanging="300"/>
      </w:pPr>
    </w:lvl>
  </w:abstractNum>
  <w:abstractNum w:abstractNumId="21" w15:restartNumberingAfterBreak="0">
    <w:multiLevelType w:val="hybridMultilevel"/>
    <w:lvl w:ilvl="0" w:tentative="1">
      <w:start w:val="1"/>
      <w:numFmt w:val="decimal"/>
      <w:lvlText w:val="%1."/>
      <w:lvlJc w:val="left"/>
      <w:pPr>
        <w:ind w:left="540" w:hanging="300"/>
      </w:pPr>
    </w:lvl>
  </w:abstractNum>
  <w:abstractNum w:abstractNumId="22" w15:restartNumberingAfterBreak="0">
    <w:multiLevelType w:val="hybridMultilevel"/>
    <w:lvl w:ilvl="0" w:tentative="1">
      <w:start w:val="1"/>
      <w:numFmt w:val="decimal"/>
      <w:lvlText w:val="%1."/>
      <w:lvlJc w:val="left"/>
      <w:pPr>
        <w:ind w:left="540" w:hanging="300"/>
      </w:pPr>
    </w:lvl>
  </w:abstractNum>
  <w:abstractNum w:abstractNumId="23" w15:restartNumberingAfterBreak="0">
    <w:multiLevelType w:val="hybridMultilevel"/>
    <w:lvl w:ilvl="0" w:tentative="1">
      <w:start w:val="1"/>
      <w:numFmt w:val="decimal"/>
      <w:lvlText w:val="%1."/>
      <w:lvlJc w:val="left"/>
      <w:pPr>
        <w:ind w:left="540" w:hanging="300"/>
      </w:pPr>
    </w:lvl>
  </w:abstractNum>
  <w:abstractNum w:abstractNumId="24" w15:restartNumberingAfterBreak="0">
    <w:multiLevelType w:val="hybridMultilevel"/>
    <w:lvl w:ilvl="0" w:tentative="1">
      <w:start w:val="1"/>
      <w:numFmt w:val="decimal"/>
      <w:lvlText w:val="%1."/>
      <w:lvlJc w:val="left"/>
      <w:pPr>
        <w:ind w:left="540" w:hanging="300"/>
      </w:pPr>
    </w:lvl>
  </w:abstractNum>
  <w:abstractNum w:abstractNumId="25" w15:restartNumberingAfterBreak="0">
    <w:multiLevelType w:val="hybridMultilevel"/>
    <w:lvl w:ilvl="0" w:tentative="1">
      <w:start w:val="1"/>
      <w:numFmt w:val="decimal"/>
      <w:lvlText w:val="%1."/>
      <w:lvlJc w:val="left"/>
      <w:pPr>
        <w:ind w:left="540" w:hanging="300"/>
      </w:pPr>
    </w:lvl>
  </w:abstractNum>
  <w:abstractNum w:abstractNumId="26" w15:restartNumberingAfterBreak="0">
    <w:multiLevelType w:val="hybridMultilevel"/>
    <w:lvl w:ilvl="0" w:tentative="1">
      <w:start w:val="1"/>
      <w:numFmt w:val="decimal"/>
      <w:lvlText w:val="%1."/>
      <w:lvlJc w:val="left"/>
      <w:pPr>
        <w:ind w:left="540" w:hanging="300"/>
      </w:pPr>
    </w:lvl>
  </w:abstractNum>
  <w:abstractNum w:abstractNumId="27" w15:restartNumberingAfterBreak="0">
    <w:multiLevelType w:val="hybridMultilevel"/>
    <w:lvl w:ilvl="0" w:tentative="1">
      <w:start w:val="1"/>
      <w:numFmt w:val="decimal"/>
      <w:lvlText w:val="%1."/>
      <w:lvlJc w:val="left"/>
      <w:pPr>
        <w:ind w:left="540" w:hanging="300"/>
      </w:pPr>
    </w:lvl>
  </w:abstractNum>
  <w:abstractNum w:abstractNumId="28" w15:restartNumberingAfterBreak="0">
    <w:multiLevelType w:val="hybridMultilevel"/>
    <w:lvl w:ilvl="0" w:tentative="1">
      <w:start w:val="1"/>
      <w:numFmt w:val="decimal"/>
      <w:lvlText w:val="%1."/>
      <w:lvlJc w:val="left"/>
      <w:pPr>
        <w:ind w:left="540" w:hanging="300"/>
      </w:pPr>
    </w:lvl>
  </w:abstractNum>
  <w:abstractNum w:abstractNumId="29" w15:restartNumberingAfterBreak="0">
    <w:multiLevelType w:val="hybridMultilevel"/>
    <w:lvl w:ilvl="0" w:tentative="1">
      <w:start w:val="1"/>
      <w:numFmt w:val="decimal"/>
      <w:lvlText w:val="%1."/>
      <w:lvlJc w:val="left"/>
      <w:pPr>
        <w:ind w:left="540" w:hanging="300"/>
      </w:pPr>
    </w:lvl>
  </w:abstractNum>
  <w:abstractNum w:abstractNumId="30" w15:restartNumberingAfterBreak="0">
    <w:multiLevelType w:val="hybridMultilevel"/>
    <w:lvl w:ilvl="0" w:tentative="1">
      <w:start w:val="1"/>
      <w:numFmt w:val="decimal"/>
      <w:lvlText w:val="%1."/>
      <w:lvlJc w:val="left"/>
      <w:pPr>
        <w:ind w:left="540" w:hanging="300"/>
      </w:pPr>
    </w:lvl>
  </w:abstractNum>
  <w:abstractNum w:abstractNumId="31" w15:restartNumberingAfterBreak="0">
    <w:multiLevelType w:val="hybridMultilevel"/>
    <w:lvl w:ilvl="0" w:tentative="1">
      <w:start w:val="1"/>
      <w:numFmt w:val="decimal"/>
      <w:lvlText w:val="%1."/>
      <w:lvlJc w:val="left"/>
      <w:pPr>
        <w:ind w:left="540" w:hanging="300"/>
      </w:pPr>
    </w:lvl>
  </w:abstractNum>
  <w:abstractNum w:abstractNumId="32"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120"/>
      <w:outlineLvl w:val="0"/>
    </w:pPr>
    <w:rPr>
      <w:rFonts w:ascii="Calibri" w:cs="Calibri" w:eastAsia="Calibri" w:hAnsi="Calibri"/>
      <w:b/>
      <w:bCs/>
      <w:color w:val="070A13"/>
      <w:sz w:val="36"/>
      <w:szCs w:val="36"/>
    </w:rPr>
  </w:style>
  <w:style w:type="paragraph" w:styleId="Heading2">
    <w:name w:val="Heading 2"/>
    <w:basedOn w:val="Normal"/>
    <w:next w:val="Normal"/>
    <w:qFormat/>
    <w:pPr>
      <w:keepNext/>
      <w:spacing w:after="120" w:before="280"/>
      <w:outlineLvl w:val="1"/>
    </w:pPr>
    <w:rPr>
      <w:rFonts w:ascii="Calibri" w:cs="Calibri" w:eastAsia="Calibri" w:hAnsi="Calibri"/>
      <w:b/>
      <w:bCs/>
      <w:color w:val="8A6620"/>
      <w:sz w:val="26"/>
      <w:szCs w:val="26"/>
    </w:rPr>
  </w:style>
  <w:style w:type="paragraph" w:styleId="Heading3">
    <w:name w:val="Heading 3"/>
    <w:basedOn w:val="Normal"/>
    <w:next w:val="Normal"/>
    <w:qFormat/>
    <w:pPr>
      <w:keepNext/>
      <w:spacing w:after="100" w:before="200"/>
      <w:outlineLvl w:val="2"/>
    </w:pPr>
    <w:rPr>
      <w:rFonts w:ascii="Calibri" w:cs="Calibri" w:eastAsia="Calibri" w:hAnsi="Calibri"/>
      <w:b/>
      <w:bCs/>
      <w:color w:val="17766C"/>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c934d0208018355a128f3c9348b3b0420e8ddc7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32bab67dd59ebc2fce9822ffb475f89ec0fad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Modelos NIS2 e Reg. 2024/2690</dc:title>
  <dc:creator>AnkoraOne</dc:creator>
  <dc:description>Modelos da Diretiva NIS2 e do Regulamento de Execução 2024/2690</dc:description>
  <cp:lastModifiedBy>Un-named</cp:lastModifiedBy>
  <cp:revision>1</cp:revision>
  <dcterms:created xsi:type="dcterms:W3CDTF">2026-10-27T00:55:02.760Z</dcterms:created>
  <dcterms:modified xsi:type="dcterms:W3CDTF">2026-10-27T00:55:02.760Z</dcterms:modified>
</cp:coreProperties>
</file>

<file path=docProps/custom.xml><?xml version="1.0" encoding="utf-8"?>
<Properties xmlns="http://schemas.openxmlformats.org/officeDocument/2006/custom-properties" xmlns:vt="http://schemas.openxmlformats.org/officeDocument/2006/docPropsVTypes"/>
</file>