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600" w:hRule="atLeast"/>
        </w:trPr>
        <w:tc>
          <w:tcPr>
            <w:tcW w:type="dxa" w:w="9638"/>
            <w:tcBorders>
              <w:top w:val="none" w:color="070A13" w:sz="0"/>
              <w:left w:val="none" w:color="070A13" w:sz="0"/>
              <w:bottom w:val="none" w:color="070A13" w:sz="0"/>
              <w:right w:val="none" w:color="070A13" w:sz="0"/>
            </w:tcBorders>
            <w:shd w:fill="070A13" w:color="auto" w:val="clear"/>
            <w:tcMar>
              <w:top w:type="dxa" w:w="500"/>
              <w:left w:type="dxa" w:w="500"/>
              <w:bottom w:type="dxa" w:w="500"/>
              <w:right w:type="dxa" w:w="500"/>
            </w:tcMar>
            <w:vAlign w:val="center"/>
          </w:tcPr>
          <w:p>
            <w:pPr>
              <w:spacing w:after="1400"/>
            </w:pPr>
            <w:r>
              <w:drawing>
                <wp:inline distT="0" distB="0" distL="0" distR="0">
                  <wp:extent cx="2857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47700"/>
                          </a:xfrm>
                          <a:prstGeom prst="rect">
                            <a:avLst/>
                          </a:prstGeom>
                        </pic:spPr>
                      </pic:pic>
                    </a:graphicData>
                  </a:graphic>
                </wp:inline>
              </w:drawing>
            </w:r>
          </w:p>
          <w:p>
            <w:pPr>
              <w:spacing w:after="200"/>
            </w:pPr>
            <w:r>
              <w:rPr>
                <w:rFonts w:ascii="Calibri" w:cs="Calibri" w:eastAsia="Calibri" w:hAnsi="Calibri"/>
                <w:b/>
                <w:bCs/>
                <w:color w:val="CFA04A"/>
                <w:spacing w:val="60"/>
                <w:sz w:val="22"/>
                <w:szCs w:val="22"/>
              </w:rPr>
              <w:t xml:space="preserve">MODELOS E RELATÓRIOS</w:t>
            </w:r>
          </w:p>
          <w:p>
            <w:pPr>
              <w:spacing w:after="240"/>
            </w:pPr>
            <w:r>
              <w:rPr>
                <w:rFonts w:ascii="Calibri" w:cs="Calibri" w:eastAsia="Calibri" w:hAnsi="Calibri"/>
                <w:b/>
                <w:bCs/>
                <w:color w:val="FFFFFF"/>
                <w:sz w:val="56"/>
                <w:szCs w:val="56"/>
              </w:rPr>
              <w:t xml:space="preserve">RJC e QNRCS</w:t>
            </w:r>
          </w:p>
          <w:p>
            <w:pPr>
              <w:spacing w:after="1200" w:line="300"/>
            </w:pPr>
            <w:r>
              <w:rPr>
                <w:rFonts w:ascii="Calibri" w:cs="Calibri" w:eastAsia="Calibri" w:hAnsi="Calibri"/>
                <w:color w:val="C9CFDA"/>
                <w:sz w:val="24"/>
                <w:szCs w:val="24"/>
              </w:rPr>
              <w:t xml:space="preserve">Registo, responsável de cibersegurança, ponto de contacto permanente, órgãos de gestão, análise de riscos, notificações de incidentes, comunicação aos destinatários e relatório anual (DL 125/2025 e Reg. CNCS n.º 756/2026).</w:t>
            </w:r>
          </w:p>
          <w:p>
            <w:pPr>
              <w:spacing w:after="360" w:line="300"/>
            </w:pPr>
            <w:r>
              <w:rPr>
                <w:rFonts w:ascii="Calibri" w:cs="Calibri" w:eastAsia="Calibri" w:hAnsi="Calibri"/>
                <w:b/>
                <w:bCs/>
                <w:color w:val="CFA04A"/>
                <w:sz w:val="22"/>
                <w:szCs w:val="22"/>
              </w:rPr>
              <w:t xml:space="preserve">AnkoraOne: </w:t>
            </w:r>
            <w:r>
              <w:rPr>
                <w:rFonts w:ascii="Calibri" w:cs="Calibri" w:eastAsia="Calibri" w:hAnsi="Calibri"/>
                <w:color w:val="FFFFFF"/>
                <w:sz w:val="22"/>
                <w:szCs w:val="22"/>
              </w:rPr>
              <w:t xml:space="preserve">a infraestrutura inteligente de governação, risco e conformidade</w:t>
            </w:r>
          </w:p>
          <w:p>
            <w:pPr>
              <w:spacing w:after="60"/>
            </w:pPr>
            <w:r>
              <w:rPr>
                <w:rFonts w:ascii="Calibri" w:cs="Calibri" w:eastAsia="Calibri" w:hAnsi="Calibri"/>
                <w:color w:val="C9CFDA"/>
                <w:sz w:val="20"/>
                <w:szCs w:val="20"/>
              </w:rPr>
              <w:t xml:space="preserve">Versão 1.0 · outubro de 2026</w:t>
            </w:r>
          </w:p>
          <w:p>
            <w:r>
              <w:rPr>
                <w:rFonts w:ascii="Calibri" w:cs="Calibri" w:eastAsia="Calibri" w:hAnsi="Calibri"/>
                <w:b/>
                <w:bCs/>
                <w:color w:val="CFA04A"/>
                <w:sz w:val="20"/>
                <w:szCs w:val="20"/>
              </w:rPr>
              <w:t xml:space="preserve">app.ankoraone.com</w:t>
            </w:r>
          </w:p>
        </w:tc>
      </w:tr>
    </w:tbl>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88"/>
      </w:pPr>
      <w:r>
        <w:rPr>
          <w:rFonts w:ascii="Calibri" w:cs="Calibri" w:eastAsia="Calibri" w:hAnsi="Calibri"/>
          <w:i/>
          <w:iCs/>
          <w:color w:val="5B6474"/>
          <w:sz w:val="18"/>
          <w:szCs w:val="18"/>
        </w:rPr>
        <w:t xml:space="preserve">Se o índice aparecer vazio, atualize os campos no Word (botão direito → Atualizar campo).</w:t>
      </w:r>
    </w:p>
    <w:p>
      <w:pPr>
        <w:pStyle w:val="Heading1"/>
        <w:pageBreakBefore/>
      </w:pPr>
      <w:r>
        <w:rPr>
          <w:rFonts w:ascii="Calibri" w:cs="Calibri" w:eastAsia="Calibri" w:hAnsi="Calibri"/>
        </w:rPr>
        <w:t xml:space="preserve">Como usar estes modelos</w:t>
      </w:r>
    </w:p>
    <w:p>
      <w:pPr>
        <w:spacing w:after="120" w:line="288"/>
      </w:pPr>
      <w:r>
        <w:rPr>
          <w:rFonts w:ascii="Calibri" w:cs="Calibri" w:eastAsia="Calibri" w:hAnsi="Calibri"/>
        </w:rPr>
        <w:t xml:space="preserve">Este documento reúne os modelos de trabalho para o Regime Jurídico da Cibersegurança (RJC, aprovado pelo Decreto-Lei n.º 125/2025) e o Regulamento do CNCS n.º 756/2026 (QNRCS). Cada modelo começa numa página nova, indica a base legal, o prazo e o canal de envio, e tem um formulário com os campos exigidos.</w:t>
      </w:r>
    </w:p>
    <w:p>
      <w:pPr>
        <w:spacing w:after="120" w:line="288"/>
      </w:pPr>
      <w:r>
        <w:rPr>
          <w:rFonts w:ascii="Calibri" w:cs="Calibri" w:eastAsia="Calibri" w:hAnsi="Calibri"/>
        </w:rPr>
        <w:t xml:space="preserve">Nos modelos legais, a coluna </w:t>
      </w:r>
      <w:r>
        <w:rPr>
          <w:rFonts w:ascii="Calibri" w:cs="Calibri" w:eastAsia="Calibri" w:hAnsi="Calibri"/>
          <w:b/>
          <w:bCs/>
        </w:rPr>
        <w:t xml:space="preserve">Campo</w:t>
      </w:r>
      <w:r>
        <w:rPr>
          <w:rFonts w:ascii="Calibri" w:cs="Calibri" w:eastAsia="Calibri" w:hAnsi="Calibri"/>
        </w:rPr>
        <w:t xml:space="preserve"> reproduz a redação do diploma, alínea a alínea, tal como está publicada no Diário da República ou no Jornal Oficial da UE. Não se acrescentaram nem retiraram requisitos. Os campos sem base legal estão assinalados como «elemento de controlo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Canal oficial e prevalência</w:t>
            </w:r>
          </w:p>
          <w:p>
            <w:pPr>
              <w:spacing w:after="60" w:line="276"/>
            </w:pPr>
            <w:r>
              <w:rPr>
                <w:rFonts w:ascii="Calibri" w:cs="Calibri" w:eastAsia="Calibri" w:hAnsi="Calibri"/>
              </w:rPr>
              <w:t xml:space="preserve">Todas as comunicações à autoridade de cibersegurança competente são feitas pela plataforma eletrónica do CNCS (RJC, art. 40.º, n.º 6; Reg. 756/2026, art. 12.º). Sem capacidade operacional própria, a notificação de incidentes pode, excecionalmente, ser feita por correio eletrónico ou telefone (Reg. 756/2026, art. 20.º, n.º 4).</w:t>
            </w:r>
          </w:p>
          <w:p>
            <w:pPr>
              <w:spacing w:after="60" w:line="276"/>
            </w:pPr>
            <w:r>
              <w:rPr>
                <w:rFonts w:ascii="Calibri" w:cs="Calibri" w:eastAsia="Calibri" w:hAnsi="Calibri"/>
              </w:rPr>
              <w:t xml:space="preserve">Quando o CNCS disponibilizar modelos de utilização obrigatória (por exemplo, para o relatório anual: RJC, art. 30.º, n.º 5; Reg. 756/2026, art. 13.º, n.º 3), esses modelos prevalecem e estes servem para preparar a informação.</w:t>
            </w:r>
          </w:p>
        </w:tc>
      </w:tr>
    </w:tbl>
    <w:p>
      <w:pPr>
        <w:pStyle w:val="Heading2"/>
      </w:pPr>
      <w:r>
        <w:rPr>
          <w:rFonts w:ascii="Calibri" w:cs="Calibri" w:eastAsia="Calibri" w:hAnsi="Calibri"/>
        </w:rPr>
        <w:t xml:space="preserve">Regras de preenchimento</w:t>
      </w:r>
    </w:p>
    <w:p>
      <w:pPr>
        <w:pStyle w:val="ListParagraph"/>
        <w:numPr>
          <w:ilvl w:val="0"/>
          <w:numId w:val="2"/>
        </w:numPr>
        <w:spacing w:after="80" w:line="276"/>
      </w:pPr>
      <w:r>
        <w:rPr>
          <w:rFonts w:ascii="Calibri" w:cs="Calibri" w:eastAsia="Calibri" w:hAnsi="Calibri"/>
        </w:rPr>
        <w:t xml:space="preserve">Preencha a coluna </w:t>
      </w:r>
      <w:r>
        <w:rPr>
          <w:rFonts w:ascii="Calibri" w:cs="Calibri" w:eastAsia="Calibri" w:hAnsi="Calibri"/>
          <w:b/>
          <w:bCs/>
        </w:rPr>
        <w:t xml:space="preserve">Preenchimento</w:t>
      </w:r>
      <w:r>
        <w:rPr>
          <w:rFonts w:ascii="Calibri" w:cs="Calibri" w:eastAsia="Calibri" w:hAnsi="Calibri"/>
        </w:rPr>
        <w:t xml:space="preserve"> e guarde o documento no repositório documental do cliente, com a data e a versão.</w:t>
      </w:r>
    </w:p>
    <w:p>
      <w:pPr>
        <w:pStyle w:val="ListParagraph"/>
        <w:numPr>
          <w:ilvl w:val="0"/>
          <w:numId w:val="2"/>
        </w:numPr>
        <w:spacing w:after="80" w:line="276"/>
      </w:pPr>
      <w:r>
        <w:rPr>
          <w:rFonts w:ascii="Calibri" w:cs="Calibri" w:eastAsia="Calibri" w:hAnsi="Calibri"/>
        </w:rPr>
        <w:t xml:space="preserve">Nos campos que o diploma admite «se aplicável» ou «se disponível», escreva «Não aplicável» ou «Ainda não disponível» em vez de deixar em branco.</w:t>
      </w:r>
    </w:p>
    <w:p>
      <w:pPr>
        <w:pStyle w:val="ListParagraph"/>
        <w:numPr>
          <w:ilvl w:val="0"/>
          <w:numId w:val="2"/>
        </w:numPr>
        <w:spacing w:after="80" w:line="276"/>
      </w:pPr>
      <w:r>
        <w:rPr>
          <w:rFonts w:ascii="Calibri" w:cs="Calibri" w:eastAsia="Calibri" w:hAnsi="Calibri"/>
        </w:rPr>
        <w:t xml:space="preserve">Datas e horas no formato AAAA-MM-DD hh:mm, com o fuso horário (por exemplo 2026-10-27 09:30 WET).</w:t>
      </w:r>
    </w:p>
    <w:p>
      <w:pPr>
        <w:pStyle w:val="ListParagraph"/>
        <w:numPr>
          <w:ilvl w:val="0"/>
          <w:numId w:val="2"/>
        </w:numPr>
        <w:spacing w:after="80" w:line="276"/>
      </w:pPr>
      <w:r>
        <w:rPr>
          <w:rFonts w:ascii="Calibri" w:cs="Calibri" w:eastAsia="Calibri" w:hAnsi="Calibri"/>
        </w:rPr>
        <w:t xml:space="preserve">Na AnkoraOne, os mesmos campos estão nos rascunhos com IA e no plano do incidente; o texto gerado é sempre revisto antes de ser enviado.</w:t>
      </w:r>
    </w:p>
    <w:p>
      <w:pPr>
        <w:pStyle w:val="Heading1"/>
        <w:pageBreakBefore/>
      </w:pPr>
      <w:r>
        <w:rPr>
          <w:rFonts w:ascii="Calibri" w:cs="Calibri" w:eastAsia="Calibri" w:hAnsi="Calibri"/>
        </w:rPr>
        <w:t xml:space="preserve">M1 · Dados de registo na plataforma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n.os 1 a 3; Reg. 756/2026, arts. 8.º a 11.º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Quem</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essenciais, importantes e públicas relevantes</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Autoidentificação: 60 dias para as entidades já em atividade (RJC, art. 8.º, n.º 1). Alterações: 30 dias úteis após a alteração (RJC, art. 35.º, n.º 3); 3 meses para os prestadores digitais do art. 35.º, n.º 4</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Canal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Plataforma eletrónica do CNCS</w:t>
            </w:r>
          </w:p>
        </w:tc>
      </w:tr>
    </w:tbl>
    <w:p>
      <w:pPr>
        <w:spacing w:after="60"/>
      </w:pPr>
    </w:p>
    <w:p>
      <w:pPr>
        <w:pStyle w:val="Heading2"/>
      </w:pPr>
      <w:r>
        <w:rPr>
          <w:rFonts w:ascii="Calibri" w:cs="Calibri" w:eastAsia="Calibri" w:hAnsi="Calibri"/>
        </w:rPr>
        <w:t xml:space="preserve">Elementos de identificação (art. 35.º, n.º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Nome da entidade em causa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1,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Número de identificação fiscal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1,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Endereço e dados de contacto atualizados, incluindo os endereços de correio eletrónico, as gamas de endereços IP e os números de telefone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1,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aplicável, o setor e subsetor pertinentes referidos nos anexos i ou ii ao presente decreto-lei</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1,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Se aplicável, uma lista dos Estados-Membros da União Europeia em que prestam serviços abrangidos pelo âmbito de aplicação do presente decreto-lei</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1,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Elementos adicionais dos prestadores digitais (art. 35.º, n.º 2)</w:t>
      </w:r>
    </w:p>
    <w:p>
      <w:pPr>
        <w:spacing w:after="120" w:line="288"/>
      </w:pPr>
      <w:r>
        <w:rPr>
          <w:rFonts w:ascii="Calibri" w:cs="Calibri" w:eastAsia="Calibri" w:hAnsi="Calibri"/>
          <w:i/>
          <w:iCs/>
          <w:color w:val="5B6474"/>
          <w:sz w:val="18"/>
          <w:szCs w:val="18"/>
        </w:rPr>
        <w:t xml:space="preserve">Só para registos de TLD, prestadores de DNS, de registo de nomes de domínio, de computação em nuvem, de centros de dados, de redes de distribuição de conteúdos, de serviços geridos e de segurança geridos, de mercados em linha, motores de pesquisa e redes sociais.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endereço do respetivo estabelecimento principal e dos outros estabelecimentos legais que possui na União Europeia ou, caso não esteja estabelecida na União, do representante designado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2,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Contactos atualizados, incluindo endereços de correio eletrónico e números de telefone da entidade e, se aplicável, do seu representante designado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2,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Os Estados-Membros onde presta serviços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2,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As gamas de endereços IP</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35.º, n.º 2,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Preparado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Validado pelo responsável de cibersegurança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M2 · Responsável de cibersegurança: designação e comunicação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31.º; Reg. 756/2026, art. 14.º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Quem</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essenciais e importantes</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20 dias úteis a contar do início de funções (RJC, art. 31.º, n.º 3); substituição: sem demora injustificada (n.º 5)</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Requisito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Titular dos órgãos de gestão, direção ou administração, ou que lhes responda organicamente e de forma direta (n.º 1)</w:t>
            </w:r>
          </w:p>
        </w:tc>
      </w:tr>
    </w:tbl>
    <w:p>
      <w:pPr>
        <w:spacing w:after="60"/>
      </w:pPr>
    </w:p>
    <w:p>
      <w:pPr>
        <w:pStyle w:val="Heading2"/>
      </w:pPr>
      <w:r>
        <w:rPr>
          <w:rFonts w:ascii="Calibri" w:cs="Calibri" w:eastAsia="Calibri" w:hAnsi="Calibri"/>
        </w:rPr>
        <w:t xml:space="preserve">Parte A · Minuta de deliberação de designação</w:t>
      </w:r>
    </w:p>
    <w:p>
      <w:pPr>
        <w:spacing w:after="120" w:line="288"/>
      </w:pPr>
      <w:r>
        <w:rPr>
          <w:rFonts w:ascii="Calibri" w:cs="Calibri" w:eastAsia="Calibri" w:hAnsi="Calibri"/>
          <w:i/>
          <w:iCs/>
          <w:color w:val="5B6474"/>
          <w:sz w:val="18"/>
          <w:szCs w:val="18"/>
        </w:rPr>
        <w:t xml:space="preserve">Texto proposto pela AnkoraOne para a ata ou despacho de designação. Adapte à forma jurídica da entidade.</w:t>
      </w:r>
    </w:p>
    <w:p>
      <w:pPr>
        <w:spacing w:after="120" w:line="288"/>
      </w:pPr>
      <w:r>
        <w:rPr>
          <w:rFonts w:ascii="Calibri" w:cs="Calibri" w:eastAsia="Calibri" w:hAnsi="Calibri"/>
        </w:rPr>
        <w:t xml:space="preserve">Em reunião de [órgão de gestão] de [data], foi deliberado designar [nome], [cargo], como responsável de cibersegurança da [entidade], nos termos do artigo 31.º do Regime Jurídico da Cibersegurança, com efeitos a partir de [data]. O responsável de cibersegurança [é titular do órgão de gestão / responde organicamente e de forma direta a (órgão)] e exerce, pelo menos, as funções seguintes:</w:t>
      </w:r>
    </w:p>
    <w:p>
      <w:pPr>
        <w:pStyle w:val="ListParagraph"/>
        <w:numPr>
          <w:ilvl w:val="0"/>
          <w:numId w:val="2"/>
        </w:numPr>
        <w:spacing w:after="80" w:line="276"/>
      </w:pPr>
      <w:r>
        <w:rPr>
          <w:rFonts w:ascii="Calibri" w:cs="Calibri" w:eastAsia="Calibri" w:hAnsi="Calibri"/>
        </w:rPr>
        <w:t xml:space="preserve">a) Propor as medidas de gestão dos riscos de cibersegurança, incluindo ao nível da cadeia de abastecimento, que devem ser aprovadas nos termos da alínea a) do n.º 1 do artigo 25.º.</w:t>
      </w:r>
    </w:p>
    <w:p>
      <w:pPr>
        <w:pStyle w:val="ListParagraph"/>
        <w:numPr>
          <w:ilvl w:val="0"/>
          <w:numId w:val="2"/>
        </w:numPr>
        <w:spacing w:after="80" w:line="276"/>
      </w:pPr>
      <w:r>
        <w:rPr>
          <w:rFonts w:ascii="Calibri" w:cs="Calibri" w:eastAsia="Calibri" w:hAnsi="Calibri"/>
        </w:rPr>
        <w:t xml:space="preserve">b) Prestar informações relativas às medidas de gestão dos riscos de cibersegurança aos órgãos da entidade responsável pela sua supervisão nos termos da alínea b) do n.º 1 do artigo 25.º.</w:t>
      </w:r>
    </w:p>
    <w:p>
      <w:pPr>
        <w:pStyle w:val="ListParagraph"/>
        <w:numPr>
          <w:ilvl w:val="0"/>
          <w:numId w:val="2"/>
        </w:numPr>
        <w:spacing w:after="80" w:line="276"/>
      </w:pPr>
      <w:r>
        <w:rPr>
          <w:rFonts w:ascii="Calibri" w:cs="Calibri" w:eastAsia="Calibri" w:hAnsi="Calibri"/>
        </w:rPr>
        <w:t xml:space="preserve">c) Auxiliar os órgãos da entidade no cumprimento das medidas de supervisão e de execução nos termos da alínea c) do n.º 1 do artigo 25.º.</w:t>
      </w:r>
    </w:p>
    <w:p>
      <w:pPr>
        <w:pStyle w:val="ListParagraph"/>
        <w:numPr>
          <w:ilvl w:val="0"/>
          <w:numId w:val="2"/>
        </w:numPr>
        <w:spacing w:after="80" w:line="276"/>
      </w:pPr>
      <w:r>
        <w:rPr>
          <w:rFonts w:ascii="Calibri" w:cs="Calibri" w:eastAsia="Calibri" w:hAnsi="Calibri"/>
        </w:rPr>
        <w:t xml:space="preserve">d) Contribuir para a promoção de uma cultura de cibersegurança na entidade, propondo, nomeadamente, as ações de formação em cibersegurança previstas na alínea d) do n.º 1 do artigo 25.º.</w:t>
      </w:r>
    </w:p>
    <w:p>
      <w:pPr>
        <w:pStyle w:val="ListParagraph"/>
        <w:numPr>
          <w:ilvl w:val="0"/>
          <w:numId w:val="2"/>
        </w:numPr>
        <w:spacing w:after="80" w:line="276"/>
      </w:pPr>
      <w:r>
        <w:rPr>
          <w:rFonts w:ascii="Calibri" w:cs="Calibri" w:eastAsia="Calibri" w:hAnsi="Calibri"/>
        </w:rPr>
        <w:t xml:space="preserve">e) Assegurar a gestão de riscos prevista no artigo 29.º.</w:t>
      </w:r>
    </w:p>
    <w:p>
      <w:pPr>
        <w:pStyle w:val="ListParagraph"/>
        <w:numPr>
          <w:ilvl w:val="0"/>
          <w:numId w:val="2"/>
        </w:numPr>
        <w:spacing w:after="80" w:line="276"/>
      </w:pPr>
      <w:r>
        <w:rPr>
          <w:rFonts w:ascii="Calibri" w:cs="Calibri" w:eastAsia="Calibri" w:hAnsi="Calibri"/>
        </w:rPr>
        <w:t xml:space="preserve">f) Assegurar o cumprimento das obrigações referentes à elaboração do relatório anual nos termos do artigo 30.º.</w:t>
      </w:r>
    </w:p>
    <w:p>
      <w:pPr>
        <w:pStyle w:val="ListParagraph"/>
        <w:numPr>
          <w:ilvl w:val="0"/>
          <w:numId w:val="2"/>
        </w:numPr>
        <w:spacing w:after="80" w:line="276"/>
      </w:pPr>
      <w:r>
        <w:rPr>
          <w:rFonts w:ascii="Calibri" w:cs="Calibri" w:eastAsia="Calibri" w:hAnsi="Calibri"/>
        </w:rPr>
        <w:t xml:space="preserve">g) Coordenar as ações do ponto de contacto permanente, previstas no artigo 32.º, quando esta função não seja assegurada por si.</w:t>
      </w:r>
    </w:p>
    <w:p>
      <w:pPr>
        <w:spacing w:after="120" w:line="288"/>
      </w:pPr>
      <w:r>
        <w:rPr>
          <w:rFonts w:ascii="Calibri" w:cs="Calibri" w:eastAsia="Calibri" w:hAnsi="Calibri"/>
        </w:rPr>
        <w:t xml:space="preserve">Mais se deliberou comunicar a designação à autoridade de cibersegurança competente no prazo de 20 dias úteis, através da plataforma eletrónica.</w:t>
      </w:r>
    </w:p>
    <w:p>
      <w:pPr>
        <w:pStyle w:val="Heading2"/>
      </w:pPr>
      <w:r>
        <w:rPr>
          <w:rFonts w:ascii="Calibri" w:cs="Calibri" w:eastAsia="Calibri" w:hAnsi="Calibri"/>
        </w:rPr>
        <w:t xml:space="preserve">Parte B · Comunicação à autoridade (Reg. 756/2026, art. 14.º, n.º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Nome do responsável de cibersegurança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14.º, n.º 3,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Cargo do responsável de cibersegurança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14.º, n.º 3,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Endereço de correio eletrónico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14.º, n.º 3,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Número de telefone fixo, se aplicável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14.º, n.º 3,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Número de telefone móvel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14.º, n.º 3,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Despacho ou ato de designação do responsável de cibersegurança, se aplicável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14.º, n.º 3,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Data de início de funções (conta o prazo de 20 dias úteis)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31.º, n.º 3</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Designado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Aprovado pelo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M3 · Ponto de contacto permanente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32.º; Reg. 756/2026, art. 15.º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Quem</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essenciais e importantes</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Disponibilidade</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24 horas por dia, 7 dias por semana, limitada a períodos de ativação comunicados pela autoridade (art. 32.º, n.º 1)</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Alterações</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Comunicar imediatamente (art. 32.º, n.º 5)</w:t>
            </w:r>
          </w:p>
        </w:tc>
      </w:tr>
    </w:tbl>
    <w:p>
      <w:pPr>
        <w:spacing w:after="60"/>
      </w:pPr>
    </w:p>
    <w:p>
      <w:pPr>
        <w:pStyle w:val="Heading2"/>
      </w:pPr>
      <w:r>
        <w:rPr>
          <w:rFonts w:ascii="Calibri" w:cs="Calibri" w:eastAsia="Calibri" w:hAnsi="Calibri"/>
        </w:rPr>
        <w:t xml:space="preserve">Funções que o ponto de contacto assegura (art. 32.º, n.º 2)</w:t>
      </w:r>
    </w:p>
    <w:p>
      <w:pPr>
        <w:pStyle w:val="ListParagraph"/>
        <w:numPr>
          <w:ilvl w:val="0"/>
          <w:numId w:val="2"/>
        </w:numPr>
        <w:spacing w:after="80" w:line="276"/>
      </w:pPr>
      <w:r>
        <w:rPr>
          <w:rFonts w:ascii="Calibri" w:cs="Calibri" w:eastAsia="Calibri" w:hAnsi="Calibri"/>
        </w:rPr>
        <w:t xml:space="preserve">a) Os fluxos de informação de nível operacional e técnico com a autoridade de cibersegurança competente, nomeadamente:</w:t>
      </w:r>
    </w:p>
    <w:p>
      <w:pPr>
        <w:pStyle w:val="ListParagraph"/>
        <w:numPr>
          <w:ilvl w:val="0"/>
          <w:numId w:val="2"/>
        </w:numPr>
        <w:spacing w:after="80" w:line="276"/>
      </w:pPr>
      <w:r>
        <w:rPr>
          <w:rFonts w:ascii="Calibri" w:cs="Calibri" w:eastAsia="Calibri" w:hAnsi="Calibri"/>
        </w:rPr>
        <w:t xml:space="preserve">i) A articulação intersectorial, incluindo a eficácia da resposta a incidentes de segurança com impacto a nível dos setores;</w:t>
      </w:r>
    </w:p>
    <w:p>
      <w:pPr>
        <w:pStyle w:val="ListParagraph"/>
        <w:numPr>
          <w:ilvl w:val="0"/>
          <w:numId w:val="2"/>
        </w:numPr>
        <w:spacing w:after="80" w:line="276"/>
      </w:pPr>
      <w:r>
        <w:rPr>
          <w:rFonts w:ascii="Calibri" w:cs="Calibri" w:eastAsia="Calibri" w:hAnsi="Calibri"/>
        </w:rPr>
        <w:t xml:space="preserve">ii) A obtenção de informação operacional e técnica, na sequência de notificação de incidentes com impacto significativo submetida pela mesma ou por outra entidade;</w:t>
      </w:r>
    </w:p>
    <w:p>
      <w:pPr>
        <w:pStyle w:val="ListParagraph"/>
        <w:numPr>
          <w:ilvl w:val="0"/>
          <w:numId w:val="2"/>
        </w:numPr>
        <w:spacing w:after="80" w:line="276"/>
      </w:pPr>
      <w:r>
        <w:rPr>
          <w:rFonts w:ascii="Calibri" w:cs="Calibri" w:eastAsia="Calibri" w:hAnsi="Calibri"/>
        </w:rPr>
        <w:t xml:space="preserve">iii) A obtenção e atualização de informação de situação integrada no contexto de um incidente significativo;</w:t>
      </w:r>
    </w:p>
    <w:p>
      <w:pPr>
        <w:pStyle w:val="ListParagraph"/>
        <w:numPr>
          <w:ilvl w:val="0"/>
          <w:numId w:val="2"/>
        </w:numPr>
        <w:spacing w:after="80" w:line="276"/>
      </w:pPr>
      <w:r>
        <w:rPr>
          <w:rFonts w:ascii="Calibri" w:cs="Calibri" w:eastAsia="Calibri" w:hAnsi="Calibri"/>
        </w:rPr>
        <w:t xml:space="preserve">b) A partilha de informação com a autoridade de cibersegurança competente, quando estejam ativados planos de emergência de proteção civil diretamente relacionados ou com impacto ao nível da cibersegurança bem como de planos no âmbito do planeamento civil de emergência da cibersegurança, dos planos de segurança das infraestruturas críticas nacionais ou europeias, ou dos planos de resiliência das entidades críticas nacionais ou europeias;</w:t>
      </w:r>
    </w:p>
    <w:p>
      <w:pPr>
        <w:pStyle w:val="ListParagraph"/>
        <w:numPr>
          <w:ilvl w:val="0"/>
          <w:numId w:val="2"/>
        </w:numPr>
        <w:spacing w:after="80" w:line="276"/>
      </w:pPr>
      <w:r>
        <w:rPr>
          <w:rFonts w:ascii="Calibri" w:cs="Calibri" w:eastAsia="Calibri" w:hAnsi="Calibri"/>
        </w:rPr>
        <w:t xml:space="preserve">c) A operacionalização dos procedimentos fixados no âmbito de um plano de emergência de proteção civil quando tenham impacto no funcionamento das redes e sistemas de informação, ou do planeamento civil de emergência da cibersegurança;</w:t>
      </w:r>
    </w:p>
    <w:p>
      <w:pPr>
        <w:pStyle w:val="ListParagraph"/>
        <w:numPr>
          <w:ilvl w:val="0"/>
          <w:numId w:val="2"/>
        </w:numPr>
        <w:spacing w:after="80" w:line="276"/>
      </w:pPr>
      <w:r>
        <w:rPr>
          <w:rFonts w:ascii="Calibri" w:cs="Calibri" w:eastAsia="Calibri" w:hAnsi="Calibri"/>
        </w:rPr>
        <w:t xml:space="preserve">d) A receção das orientações, recomendações, instruções técnicas e ordens emitidas pela autoridade de cibersegurança competente.</w:t>
      </w:r>
    </w:p>
    <w:p>
      <w:pPr>
        <w:pStyle w:val="Heading2"/>
      </w:pPr>
      <w:r>
        <w:rPr>
          <w:rFonts w:ascii="Calibri" w:cs="Calibri" w:eastAsia="Calibri" w:hAnsi="Calibri"/>
        </w:rPr>
        <w:t xml:space="preserve">Comunicação à autoridade (Reg. 756/2026, art. 15.º, n.º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Identificação da equipa ou entidade terceira que assume(m) a função de ponto de contacto permanente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Endereço de correio eletrónico principal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Endereço de correio eletrónico alternativo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Número de telefone fixo principal, se aplicável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Número de telefone móvel principal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Número de telefone fixo alternativo, se aplicável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Número de telefone móvel alternativo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Outros contactos alternativos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15.º, n.º 3,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Escala de ativação (elemento de controlo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Período</w:t>
            </w:r>
          </w:p>
        </w:tc>
        <w:tc>
          <w:tcPr>
            <w:tcW w:type="dxa" w:w="241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 principal</w:t>
            </w:r>
          </w:p>
        </w:tc>
        <w:tc>
          <w:tcPr>
            <w:tcW w:type="dxa" w:w="241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Substituto</w:t>
            </w:r>
          </w:p>
        </w:tc>
        <w:tc>
          <w:tcPr>
            <w:tcW w:type="dxa" w:w="240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Contacto móvel</w:t>
            </w:r>
          </w:p>
        </w:tc>
      </w:tr>
      <w:tr>
        <w:trPr>
          <w:cantSplit/>
        </w:trPr>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0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0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1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40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M4 · Aprovação e supervisão pelos órgãos de gestão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25.º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Quem</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Órgãos de gestão, direção e administração das entidades essenciais e importantes</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Nota</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responsabilidade só pode ser delegada num dos titulares dos órgãos de gestão (art. 25.º, n.º 3)</w:t>
            </w:r>
          </w:p>
        </w:tc>
      </w:tr>
    </w:tbl>
    <w:p>
      <w:pPr>
        <w:spacing w:after="60"/>
      </w:pPr>
    </w:p>
    <w:p>
      <w:pPr>
        <w:pStyle w:val="Heading2"/>
      </w:pPr>
      <w:r>
        <w:rPr>
          <w:rFonts w:ascii="Calibri" w:cs="Calibri" w:eastAsia="Calibri" w:hAnsi="Calibri"/>
        </w:rPr>
        <w:t xml:space="preserve">Minuta de ata</w:t>
      </w:r>
    </w:p>
    <w:p>
      <w:pPr>
        <w:spacing w:after="120" w:line="288"/>
      </w:pPr>
      <w:r>
        <w:rPr>
          <w:rFonts w:ascii="Calibri" w:cs="Calibri" w:eastAsia="Calibri" w:hAnsi="Calibri"/>
        </w:rPr>
        <w:t xml:space="preserve">Aos [data], reuniu o [órgão de gestão] da [entidade], com a presença de [membros] e do responsável de cibersegurança, [nome], para tratar das obrigações do artigo 25.º do Regime Jurídico da Cibersegurança.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084"/>
        <w:gridCol w:w="2313"/>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Obrigação (art. 25.º, n.º 1)</w:t>
            </w:r>
          </w:p>
        </w:tc>
        <w:tc>
          <w:tcPr>
            <w:tcW w:type="dxa" w:w="308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Deliberação</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Documento de suporte</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Aprovam as medidas de gestão dos riscos de cibersegurança, adotadas em conformidade com o artigo 27.º</w:t>
            </w:r>
          </w:p>
        </w:tc>
        <w:tc>
          <w:tcPr>
            <w:tcW w:type="dxa" w:w="308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Supervisionam a aplicação das medidas de gestão dos riscos de cibersegurança</w:t>
            </w:r>
          </w:p>
        </w:tc>
        <w:tc>
          <w:tcPr>
            <w:tcW w:type="dxa" w:w="308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Asseguram o cumprimento das medidas de supervisão e de execução, a que se refere o capítulo vi</w:t>
            </w:r>
          </w:p>
        </w:tc>
        <w:tc>
          <w:tcPr>
            <w:tcW w:type="dxa" w:w="308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Asseguram a realização, com uma periodicidade regular, de ações de formação em cibersegurança, de forma a promover uma cultura de gestão interna sobre práticas de gestão dos riscos de cibersegurança</w:t>
            </w:r>
          </w:p>
        </w:tc>
        <w:tc>
          <w:tcPr>
            <w:tcW w:type="dxa" w:w="308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Presidente do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Responsável de cibersegurança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Secretário da reunião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M5 · Relatório de análise e gestão de riscos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29.º; Reg. 756/2026, art. 31.º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Periodicidade</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Pelo menos uma vez por ano e após notificação do CNCS de risco, ameaça ou vulnerabilidade emergente (Reg. 756/2026, art. 31.º, n.º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Produção de efeitos</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As obrigações do art. 29.º produzem efeitos 24 meses após a regulamentação (DL 125/2025, art. 10.º, n.º 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RJC, art. 29.º, n.º 3</w:t>
            </w:r>
          </w:p>
          <w:p>
            <w:pPr>
              <w:spacing w:after="60" w:line="276"/>
            </w:pPr>
            <w:r>
              <w:rPr>
                <w:rFonts w:ascii="Calibri" w:cs="Calibri" w:eastAsia="Calibri" w:hAnsi="Calibri"/>
              </w:rPr>
              <w:t xml:space="preserve">3 — As entidades essenciais e importantes devem documentar a preparação, a execução e a apresentação dos resultados da análise dos riscos.</w:t>
            </w:r>
          </w:p>
        </w:tc>
      </w:tr>
    </w:tbl>
    <w:p>
      <w:pPr>
        <w:pStyle w:val="Heading2"/>
      </w:pPr>
      <w:r>
        <w:rPr>
          <w:rFonts w:ascii="Calibri" w:cs="Calibri" w:eastAsia="Calibri" w:hAnsi="Calibri"/>
        </w:rPr>
        <w:t xml:space="preserve">1. Âmbito e ativos analisados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Ativos que garantem a continuidade das redes e sistemas de informação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29.º, n.º 1</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Ativos que garantem a prestação dos serviços essenciais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29.º, n.º 1</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Data e responsável da análise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29.º, n.º 3</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2. Elementos considerados (Reg. 756/2026, art. 31.º, n.º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histórico de situações extraordinárias ocorridas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histórico de incidentes e, em especial, de incidentes com impacto relevante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número de utilizadores afetados pelos incidentes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A duração dos incidentes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A distribuição geográfica, no que se refere à zona afetada pelos incidentes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As dependências intersetoriais para efeitos da prestação dos serviços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Os elementos constantes da instrução técnica referida no artigo 29.º do presente Regulamento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 756/2026, art. 31.º, n.º 3,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3. Riscos identificados e tratamento</w:t>
      </w:r>
    </w:p>
    <w:p>
      <w:pPr>
        <w:spacing w:after="120" w:line="288"/>
      </w:pPr>
      <w:r>
        <w:rPr>
          <w:rFonts w:ascii="Calibri" w:cs="Calibri" w:eastAsia="Calibri" w:hAnsi="Calibri"/>
          <w:i/>
          <w:iCs/>
          <w:color w:val="5B6474"/>
          <w:sz w:val="18"/>
          <w:szCs w:val="18"/>
        </w:rPr>
        <w:t xml:space="preserve">Registe os riscos na folha «Riscos» do livro Excel deste referencial ou no módulo de riscos da AnkoraOne e junte o resumo.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735"/>
        <w:gridCol w:w="964"/>
        <w:gridCol w:w="2506"/>
        <w:gridCol w:w="1927"/>
      </w:tblGrid>
      <w:tr>
        <w:trPr>
          <w:tblHeader/>
        </w:trPr>
        <w:tc>
          <w:tcPr>
            <w:tcW w:type="dxa" w:w="2506"/>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Risco</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Ativos</w:t>
            </w:r>
          </w:p>
        </w:tc>
        <w:tc>
          <w:tcPr>
            <w:tcW w:type="dxa" w:w="96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Nível</w:t>
            </w:r>
          </w:p>
        </w:tc>
        <w:tc>
          <w:tcPr>
            <w:tcW w:type="dxa" w:w="2506"/>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Medidas (QNRCS)</w:t>
            </w:r>
          </w:p>
        </w:tc>
        <w:tc>
          <w:tcPr>
            <w:tcW w:type="dxa" w:w="192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Risco residual</w:t>
            </w:r>
          </w:p>
        </w:tc>
      </w:tr>
      <w:tr>
        <w:trPr>
          <w:cantSplit/>
        </w:trPr>
        <w:tc>
          <w:tcPr>
            <w:tcW w:type="dxa" w:w="2506"/>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506"/>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92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506"/>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506"/>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92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506"/>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506"/>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92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4. Risco residual (Reg. 756/2026, art. 31.º, n.º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Reg. 756/2026, art. 31.º, n.º 4</w:t>
            </w:r>
          </w:p>
          <w:p>
            <w:pPr>
              <w:spacing w:after="60" w:line="276"/>
            </w:pPr>
            <w:r>
              <w:rPr>
                <w:rFonts w:ascii="Calibri" w:cs="Calibri" w:eastAsia="Calibri" w:hAnsi="Calibri"/>
              </w:rPr>
              <w:t xml:space="preserve">4 — As entidades essenciais e importantes realizam ainda a análise do risco residual, após a adoção de medidas de cibersegurança, nos termos do disposto nos n.os 1 e 2 do artigo 29.º do Regime Jurídico da Cibersegurança.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Avaliação do risco residual após as medidas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29.º, n.º 2</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Riscos residuais aceites e quem os aceitou</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Elemento de controlo interno</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Responsável de cibersegurança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Aprovado pelo órgão de gestão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M6 · Avaliação de incidente significativo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arts. 2.º, alínea l), e 40.º, n.os 3 e 4; Reg. 756/2026, art. 20.º, n.º 3</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Quando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Logo que haja indícios de um incidente; a verificação de incidente significativo inicia o prazo de 24 horas da notificação inicial</w:t>
            </w:r>
          </w:p>
        </w:tc>
      </w:tr>
    </w:tbl>
    <w:p>
      <w:pPr>
        <w:spacing w:after="60"/>
      </w:pPr>
    </w:p>
    <w:p>
      <w:pPr>
        <w:pStyle w:val="Heading2"/>
      </w:pPr>
      <w:r>
        <w:rPr>
          <w:rFonts w:ascii="Calibri" w:cs="Calibri" w:eastAsia="Calibri" w:hAnsi="Calibri"/>
        </w:rPr>
        <w:t xml:space="preserve">Parâmetros (art. 40.º, n.º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Número de utilizadores afetados pela perturbação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40.º, n.º 3,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Número total de utilizadores do serviço perturbado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40.º, n.º 3,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A duração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40.º, n.º 3,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 nível da gravidade da perturbação do funcionamento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40.º, n.º 3,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A dimensão do impacto nas atividades económicas e sociais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40.º, n.º 3,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RJC, art. 40.º, n.º 4</w:t>
            </w:r>
          </w:p>
          <w:p>
            <w:pPr>
              <w:spacing w:after="60" w:line="276"/>
            </w:pPr>
            <w:r>
              <w:rPr>
                <w:rFonts w:ascii="Calibri" w:cs="Calibri" w:eastAsia="Calibri" w:hAnsi="Calibri"/>
              </w:rPr>
              <w:t xml:space="preserve">4 — As entidades devem ainda ter em consideração os parâmetros e limiares definidos, quando aplicável, por instrução técnica do CNCS e pelos atos de execução da Comissão, previstos no n.º 11 do artigo 23.º da Diretiva (UE) 2022/2555, do Parlamento Europeu e do Conselho, de 14 de dezembro de 2022.</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Conclusão: incidente significativo? (sim / não / possível)</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1</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Data e hora da verificação (início do prazo de 24 horas)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1</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Resolvido nas 2 horas após a deteção? (só notificação de fim de impacto)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41.º, n.º 2</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Outras notificações exigidas (Ministério Público, PJ, CNPD, GNS…)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40.º, n.º 5</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Validado pelo responsável de cibersegurança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M7 · Notificação inicial (até 24 horas)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n.os 1 e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notificação inicial deve ser enviada à autoridade de cibersegurança competente, assim que a entidade essencial, importante ou pública relevante concluir que existe, ou possa vir a existir, um incidente significativo, sem demora injustificada e até 24 horas após essa verificação, salvo quando tal for incompatível com a mitigação ou a resolução do incidente.</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Canal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Plataforma eletrónica do CNCS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Nome, número de telefone e endereço de correio eletrónico de um representante da entidade, quando diferente do ponto de contacto permanente a que se refere o artigo 32.º, para efeito de um eventual contacto pela autoridade de cibersegurança competente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Data e hora do início ou, em caso de impossibilidade de o determinar, da deteção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Breve descrição do incidente, incluindo a indicação da categoria da causa e dos efeitos produzidos, de acordo com a taxonomia definida pelo CNCS, sempre que possível, o respetivo detalhe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Estimativa possível do impacto, considerando: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 Número de utilizadores afetados pela perturbação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d),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 Duração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d), 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iii) Distribuição geográfica, no que se refere à zona afetada pelo incidente, incluindo a indicação do impacto transfronteiriço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d), iii)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iv) Outra informação que a entidade essencial e importante considere relevante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2, al. d), iv)</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M8 · Atualização da notificação inicial (até 72 horas)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3</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Quando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Quando necessário, até 72 horas após a verificação do incidente significativo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RJC, art. 42.º, n.º 3</w:t>
            </w:r>
          </w:p>
          <w:p>
            <w:pPr>
              <w:spacing w:after="60" w:line="276"/>
            </w:pPr>
            <w:r>
              <w:rPr>
                <w:rFonts w:ascii="Calibri" w:cs="Calibri" w:eastAsia="Calibri" w:hAnsi="Calibri"/>
              </w:rPr>
              <w:t xml:space="preserve">3 — Quando necessário, a entidade essencial, importante ou pública relevante envia à autoridade de cibersegurança competente uma atualização da notificação inicial até 72 horas após a verificação do incidente significativo, revendo a informação referida no número anterior e fornecendo uma avaliação inicial do incidente significativo, incluindo da sua gravidade e do seu impacto, bem como, se disponíveis, dos indicadores de exposição a riscos.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Revisão da informação da notificação inicial (alíneas a) a d) do n.º 2)</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3</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Avaliação inicial do incidente: gravidade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3</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Avaliação inicial do incidente: impacto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3</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Indicadores de exposição a riscos, se disponíveis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42.º, n.º 3</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M9 · Notificação do fim de impacto significativo (até 24 horas)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notificação do fim de impacto significativo do incidente deve ser submetida à autoridade de cibersegurança competente, sem demora injustificada e dentro do prazo de 24 horas após o fim do impacto.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Nota</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Incidente resolvido nas 2 horas após a deteção: é a única notificação obrigatória (RJC, art. 41.º, n.º 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Atualização da informação transmitida na notificação inicial, caso exista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Breve descrição das medidas adotadas para a resolução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Descrição da situação de impacto existente no momento da perda de impacto significativo, nomeadamente: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 Número de utilizadores afetados pela perturbação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c),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 Duração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c), 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iii) Distribuição geográfica, no que se refere à zona afetada pelo incidente, incluindo a indicação de impacto transfronteiriço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c), iii)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iv) Tempo estimado para a recuperação total dos serviços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43.º, n.º 2, al. c), iv)</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M10 · Relatório intercalar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n.os 3 e 4; art. 41.º, n.º 3</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Quando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pedido da autoridade e, se o incidente continuar em curso no fim do prazo do relatório final, nos termos do art. 44.º, n.º 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RJC, art. 44.º, n.º 3</w:t>
            </w:r>
          </w:p>
          <w:p>
            <w:pPr>
              <w:spacing w:after="60" w:line="276"/>
            </w:pPr>
            <w:r>
              <w:rPr>
                <w:rFonts w:ascii="Calibri" w:cs="Calibri" w:eastAsia="Calibri" w:hAnsi="Calibri"/>
              </w:rPr>
              <w:t xml:space="preserve">3 — Na hipótese de, decorrido o prazo para apresentação do relatório final, o incidente ainda se encontrar em curso, a entidade essencial, importante ou pública relevante em causa deve apresentar relatório intercalar a autoridade de cibersegurança competente, a pedido destas entidades e com periodicidade semanal até ao momento da apresentação do relatório final.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Atualização da informação transmitida na notificação inicial, caso exista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Breve descrição das medidas adotadas para a resolução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Descrição da situação de impacto existente no momento da perda de impacto significativo, nomeadamente: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 Número de utilizadores afetados pela perturbação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c),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 Duração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c), 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iii) Distribuição geográfica, no que se refere à zona afetada pelo incidente, incluindo a indicação de impacto transfronteiriço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c), iii)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iv) Tempo estimado para a recuperação total dos serviços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4, al. c), iv)</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M11 · Relatório final (30 dias úteis)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n.os 1 e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 relatório final deve ser submetido à autoridade de cibersegurança competente, no prazo de 30 dias úteis a contar da data da notificação do fim de impacto significativo do incidente.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Data e hora em que o incidente assumiu o impacto significativo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Data e hora em que o incidente perdeu o impacto significativo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Impacto do incidente, considerando: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 Número de utilizadores afetados pela perturbação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c),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 Duração do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c), 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iii) Distribuição geográfica, no que se refere à zona afetada pelo incidente, incluindo a indicação de impacto transfronteiriço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c), iii)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iv) Descrição do incidente, com a indicação da categoria da causa e dos efeitos produzidos, de acordo com a taxonomia definida pelo CNCS, e o respetivo detalhe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c), iv)</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Indicação das medidas adotadas para mitigar o incidente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Descrição da situação residual do impacto existente à data da notificação final, nomeadamente: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 Número de utilizadores afetados pela perturbação do serviço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e),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 Distribuição geográfica, no que se refere à zona afetada pelo incidente, incluindo a indicação de impacto transfronteiriço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e), 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iii) Tempo estimado para a recuperação total dos serviços ainda afetados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e), iii)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iv) Indicação, sempre que aplicável, da apresentação de notificação do incidente em causa às autoridades competentes, nomeadamente ao Ministério Público ou à CNPD e a outras autoridades setoriais, nos termos previstos nas disposições legais e regulamentares aplicáveis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e), iv)</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      v) Outra informação que a entidade essencial e importante considere relevante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44.º, n.º 2, al. e), v)</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Preparado por</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Responsável de cibersegurança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M12 · Comunicação aos destinatários dos serviços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48.º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Sem demora injustificada</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informação referida nos números anteriores deve ser prestada de forma gratuita e em linguagem facilmente compreensível.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RJC, art. 48.º, n.os 1 e 2</w:t>
            </w:r>
          </w:p>
          <w:p>
            <w:pPr>
              <w:spacing w:after="60" w:line="276"/>
            </w:pPr>
            <w:r>
              <w:rPr>
                <w:rFonts w:ascii="Calibri" w:cs="Calibri" w:eastAsia="Calibri" w:hAnsi="Calibri"/>
              </w:rPr>
              <w:t xml:space="preserve">1 — As entidades essenciais, importantes e públicas relevantes comunicam aos destinatários dos seus serviços, sem demora injustificada, quaisquer incidentes com impacto significativo que sejam suscetíveis de os afetar negativamente.</w:t>
            </w:r>
          </w:p>
          <w:p>
            <w:pPr>
              <w:spacing w:after="60" w:line="276"/>
            </w:pPr>
            <w:r>
              <w:rPr>
                <w:rFonts w:ascii="Calibri" w:cs="Calibri" w:eastAsia="Calibri" w:hAnsi="Calibri"/>
              </w:rPr>
              <w:t xml:space="preserve">2 — As entidades essenciais, importantes e públicas relevantes comunicam aos destinatários dos seus serviços potencialmente afetados por uma ciberameaça significativa, sem demora injustificada, as medidas ou soluções que estes podem adotar para responder à ameaça e, quando apropriado, comunicam aos mesmos a ciberameaça em causa.</w:t>
            </w:r>
          </w:p>
        </w:tc>
      </w:tr>
    </w:tbl>
    <w:p>
      <w:pPr>
        <w:pStyle w:val="Heading2"/>
      </w:pPr>
      <w:r>
        <w:rPr>
          <w:rFonts w:ascii="Calibri" w:cs="Calibri" w:eastAsia="Calibri" w:hAnsi="Calibri"/>
        </w:rPr>
        <w:t xml:space="preserve">Minuta de comunicação</w:t>
      </w:r>
    </w:p>
    <w:p>
      <w:pPr>
        <w:spacing w:after="120" w:line="288"/>
      </w:pPr>
      <w:r>
        <w:rPr>
          <w:rFonts w:ascii="Calibri" w:cs="Calibri" w:eastAsia="Calibri" w:hAnsi="Calibri"/>
          <w:i/>
          <w:iCs/>
          <w:color w:val="5B6474"/>
          <w:sz w:val="18"/>
          <w:szCs w:val="18"/>
        </w:rPr>
        <w:t xml:space="preserve">Texto proposto pela AnkoraOne. Linguagem simples, sem termos técnicos desnecessários.</w:t>
      </w:r>
    </w:p>
    <w:p>
      <w:pPr>
        <w:spacing w:after="120" w:line="288"/>
      </w:pPr>
      <w:r>
        <w:rPr>
          <w:rFonts w:ascii="Calibri" w:cs="Calibri" w:eastAsia="Calibri" w:hAnsi="Calibri"/>
        </w:rPr>
        <w:t xml:space="preserve">Assunto: Informação sobre [perturbação / ameaça] no serviço [nome do serviço]</w:t>
      </w:r>
    </w:p>
    <w:p>
      <w:pPr>
        <w:spacing w:after="120" w:line="288"/>
      </w:pPr>
      <w:r>
        <w:rPr>
          <w:rFonts w:ascii="Calibri" w:cs="Calibri" w:eastAsia="Calibri" w:hAnsi="Calibri"/>
        </w:rPr>
        <w:t xml:space="preserve">Informamos que, desde [data e hora], o serviço [nome] [está afetado / pode ser afetado] por [descrição breve em linguagem simples]. Isto pode ter o seguinte efeito para si: [efeito].</w:t>
      </w:r>
    </w:p>
    <w:p>
      <w:pPr>
        <w:spacing w:after="120" w:line="288"/>
      </w:pPr>
      <w:r>
        <w:rPr>
          <w:rFonts w:ascii="Calibri" w:cs="Calibri" w:eastAsia="Calibri" w:hAnsi="Calibri"/>
        </w:rPr>
        <w:t xml:space="preserve">Para se proteger, recomendamos que: [medidas ou soluções que o destinatário pode adotar]. Estamos a [medidas em curso] e voltaremos a informar quando a situação estiver resolvida.</w:t>
      </w:r>
    </w:p>
    <w:p>
      <w:pPr>
        <w:spacing w:after="120" w:line="288"/>
      </w:pPr>
      <w:r>
        <w:rPr>
          <w:rFonts w:ascii="Calibri" w:cs="Calibri" w:eastAsia="Calibri" w:hAnsi="Calibri"/>
        </w:rPr>
        <w:t xml:space="preserve">Esta comunicação é gratuita. Para esclarecimentos: [contacto].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Destinatários abrangidos e meio de comunicação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Elemento de controlo interno</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Data e hora de envio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Elemento de controlo interno</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M13 · Relatório 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30.º; Reg. 756/2026, art. 13.º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essenciais</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Submetem, assinado pelo responsável de cibersegurança, até ao último dia útil de janeiro do ano civil seguinte (art. 30.º, n.º 2). Entregam ao mesmo tempo a lista de ativos acessíveis pela Internet (Reg. 756/2026, art. 32.º, n.º 3, alínea b))</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importantes</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Comunicam quando solicitado (art. 30.º, n.º 4)</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Produção de efeitos</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 art. 30.º produz efeitos 24 meses após a regulamentação (DL 125/2025, art. 10.º, n.º 2). Confirme a data aplicável na Biblioteca Legal</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Modelo obrigatório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 CNCS disponibiliza na plataforma modelos de utilização obrigatória (Reg. 756/2026, art. 13.º, n.º 3). Use este documento para preparar a informação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Ano civil a que se reporta</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30.º, n.º 1</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 e qualificação (essencial / importante)</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RJC, art. 30.º, n.os 2 e 4</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a) Descrição sumária das principais atividades desenvolvidas em matéria de segurança das redes e dos serviços de informação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b) Estatística trimestral de todos os incidentes, com indicação do número e do tipo dos incidentes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1349"/>
        <w:gridCol w:w="1349"/>
        <w:gridCol w:w="1349"/>
        <w:gridCol w:w="1351"/>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Tipo de incidente</w:t>
            </w:r>
          </w:p>
        </w:tc>
        <w:tc>
          <w:tcPr>
            <w:tcW w:type="dxa" w:w="1349"/>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1.º trim.</w:t>
            </w:r>
          </w:p>
        </w:tc>
        <w:tc>
          <w:tcPr>
            <w:tcW w:type="dxa" w:w="1349"/>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2.º trim.</w:t>
            </w:r>
          </w:p>
        </w:tc>
        <w:tc>
          <w:tcPr>
            <w:tcW w:type="dxa" w:w="1349"/>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3.º trim.</w:t>
            </w:r>
          </w:p>
        </w:tc>
        <w:tc>
          <w:tcPr>
            <w:tcW w:type="dxa" w:w="1349"/>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4.º trim.</w:t>
            </w:r>
          </w:p>
        </w:tc>
        <w:tc>
          <w:tcPr>
            <w:tcW w:type="dxa" w:w="135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Total</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5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5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5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Total</w:t>
            </w: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4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35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c) Análise agregada dos incidentes com impacto significativo, com informação sobre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530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33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Número de utilizadores afetados pela perturbação serviço</w:t>
            </w:r>
          </w:p>
        </w:tc>
        <w:tc>
          <w:tcPr>
            <w:tcW w:type="dxa" w:w="530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33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ii) Duração dos incidentes</w:t>
            </w:r>
          </w:p>
        </w:tc>
        <w:tc>
          <w:tcPr>
            <w:tcW w:type="dxa" w:w="530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33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iii) Distribuição geográfica, no que se refere à zona afetada pelos incidentes, incluindo a indicação de impacto transfronteiriço</w:t>
            </w:r>
          </w:p>
        </w:tc>
        <w:tc>
          <w:tcPr>
            <w:tcW w:type="dxa" w:w="530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d) Recomendações de atividades, de medidas ou de práticas que promovam a melhoria da segurança das redes e dos sistemas de informação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e) Problemas identificados e medidas implementadas na sequência dos incidentes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f) Qualquer outra informação que se considere relevante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963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2314"/>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Função</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 e cargo</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Data</w:t>
            </w:r>
          </w:p>
        </w:tc>
        <w:tc>
          <w:tcPr>
            <w:tcW w:type="dxa" w:w="231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Assinatura</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Responsável de cibersegurança (assina, art. 30.º, n.º 2)</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Órgão de gestão (conhecimento)</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231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4"/>
        <w:sz w:val="16"/>
        <w:szCs w:val="16"/>
      </w:rPr>
      <w:t xml:space="preserve">Página </w:t>
    </w:r>
    <w:r>
      <w:rPr>
        <w:rFonts w:ascii="Calibri" w:cs="Calibri" w:eastAsia="Calibri" w:hAnsi="Calibri"/>
        <w:color w:val="5B64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6"/>
      </w:pBdr>
    </w:pPr>
    <w:r>
      <w:drawing>
        <wp:inline distT="0" distB="0" distL="0" distR="0">
          <wp:extent cx="1047750" cy="238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r>
      <w:rPr>
        <w:rFonts w:ascii="Calibri" w:cs="Calibri" w:eastAsia="Calibri" w:hAnsi="Calibri"/>
        <w:color w:val="5B6474"/>
        <w:sz w:val="16"/>
        <w:szCs w:val="16"/>
      </w:rPr>
      <w:t xml:space="preserve">     Modelos RJC e QNRCS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abstractNum w:abstractNumId="23" w15:restartNumberingAfterBreak="0">
    <w:multiLevelType w:val="hybridMultilevel"/>
    <w:lvl w:ilvl="0" w:tentative="1">
      <w:start w:val="1"/>
      <w:numFmt w:val="decimal"/>
      <w:lvlText w:val="%1."/>
      <w:lvlJc w:val="left"/>
      <w:pPr>
        <w:ind w:left="540" w:hanging="300"/>
      </w:pPr>
    </w:lvl>
  </w:abstractNum>
  <w:abstractNum w:abstractNumId="24" w15:restartNumberingAfterBreak="0">
    <w:multiLevelType w:val="hybridMultilevel"/>
    <w:lvl w:ilvl="0" w:tentative="1">
      <w:start w:val="1"/>
      <w:numFmt w:val="decimal"/>
      <w:lvlText w:val="%1."/>
      <w:lvlJc w:val="left"/>
      <w:pPr>
        <w:ind w:left="540" w:hanging="300"/>
      </w:pPr>
    </w:lvl>
  </w:abstractNum>
  <w:abstractNum w:abstractNumId="25" w15:restartNumberingAfterBreak="0">
    <w:multiLevelType w:val="hybridMultilevel"/>
    <w:lvl w:ilvl="0" w:tentative="1">
      <w:start w:val="1"/>
      <w:numFmt w:val="decimal"/>
      <w:lvlText w:val="%1."/>
      <w:lvlJc w:val="left"/>
      <w:pPr>
        <w:ind w:left="540" w:hanging="300"/>
      </w:pPr>
    </w:lvl>
  </w:abstractNum>
  <w:abstractNum w:abstractNumId="26" w15:restartNumberingAfterBreak="0">
    <w:multiLevelType w:val="hybridMultilevel"/>
    <w:lvl w:ilvl="0" w:tentative="1">
      <w:start w:val="1"/>
      <w:numFmt w:val="decimal"/>
      <w:lvlText w:val="%1."/>
      <w:lvlJc w:val="left"/>
      <w:pPr>
        <w:ind w:left="540" w:hanging="300"/>
      </w:pPr>
    </w:lvl>
  </w:abstractNum>
  <w:abstractNum w:abstractNumId="27" w15:restartNumberingAfterBreak="0">
    <w:multiLevelType w:val="hybridMultilevel"/>
    <w:lvl w:ilvl="0" w:tentative="1">
      <w:start w:val="1"/>
      <w:numFmt w:val="decimal"/>
      <w:lvlText w:val="%1."/>
      <w:lvlJc w:val="left"/>
      <w:pPr>
        <w:ind w:left="540" w:hanging="300"/>
      </w:pPr>
    </w:lvl>
  </w:abstractNum>
  <w:abstractNum w:abstractNumId="28" w15:restartNumberingAfterBreak="0">
    <w:multiLevelType w:val="hybridMultilevel"/>
    <w:lvl w:ilvl="0" w:tentative="1">
      <w:start w:val="1"/>
      <w:numFmt w:val="decimal"/>
      <w:lvlText w:val="%1."/>
      <w:lvlJc w:val="left"/>
      <w:pPr>
        <w:ind w:left="540" w:hanging="300"/>
      </w:pPr>
    </w:lvl>
  </w:abstractNum>
  <w:abstractNum w:abstractNumId="29" w15:restartNumberingAfterBreak="0">
    <w:multiLevelType w:val="hybridMultilevel"/>
    <w:lvl w:ilvl="0" w:tentative="1">
      <w:start w:val="1"/>
      <w:numFmt w:val="decimal"/>
      <w:lvlText w:val="%1."/>
      <w:lvlJc w:val="left"/>
      <w:pPr>
        <w:ind w:left="540" w:hanging="300"/>
      </w:pPr>
    </w:lvl>
  </w:abstractNum>
  <w:abstractNum w:abstractNumId="30" w15:restartNumberingAfterBreak="0">
    <w:multiLevelType w:val="hybridMultilevel"/>
    <w:lvl w:ilvl="0" w:tentative="1">
      <w:start w:val="1"/>
      <w:numFmt w:val="decimal"/>
      <w:lvlText w:val="%1."/>
      <w:lvlJc w:val="left"/>
      <w:pPr>
        <w:ind w:left="540" w:hanging="300"/>
      </w:pPr>
    </w:lvl>
  </w:abstractNum>
  <w:abstractNum w:abstractNumId="31" w15:restartNumberingAfterBreak="0">
    <w:multiLevelType w:val="hybridMultilevel"/>
    <w:lvl w:ilvl="0" w:tentative="1">
      <w:start w:val="1"/>
      <w:numFmt w:val="decimal"/>
      <w:lvlText w:val="%1."/>
      <w:lvlJc w:val="left"/>
      <w:pPr>
        <w:ind w:left="540" w:hanging="300"/>
      </w:pPr>
    </w:lvl>
  </w:abstractNum>
  <w:abstractNum w:abstractNumId="3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070A13"/>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8A6620"/>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7766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34d0208018355a128f3c9348b3b0420e8ddc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2bab67dd59ebc2fce9822ffb475f89ec0fad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RJC e QNRCS</dc:title>
  <dc:creator>AnkoraOne</dc:creator>
  <dc:description>Modelos e relatórios do Regime Jurídico da Cibersegurança</dc:description>
  <cp:lastModifiedBy>Un-named</cp:lastModifiedBy>
  <cp:revision>1</cp:revision>
  <dcterms:created xsi:type="dcterms:W3CDTF">2026-10-27T01:29:30.114Z</dcterms:created>
  <dcterms:modified xsi:type="dcterms:W3CDTF">2026-10-27T01:29:30.114Z</dcterms:modified>
</cp:coreProperties>
</file>

<file path=docProps/custom.xml><?xml version="1.0" encoding="utf-8"?>
<Properties xmlns="http://schemas.openxmlformats.org/officeDocument/2006/custom-properties" xmlns:vt="http://schemas.openxmlformats.org/officeDocument/2006/docPropsVTypes"/>
</file>