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GUIA DE IMPLEMENTAÇÃO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NIS2 em Portugal: o Regime Jurídico da Cibersegurança</w:t>
            </w:r>
          </w:p>
          <w:p>
            <w:pPr>
              <w:spacing w:after="16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O que a lei pede, as medidas mínimas por nível, o roteiro, a jornada completa com a base legal de cada tarefa e os prazos, com o caminho de cada passo na AnkoraOne.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O que é e a quem se aplica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Regime Jurídico da Cibersegurança (RJC)</w:t>
      </w:r>
      <w:r>
        <w:rPr>
          <w:rFonts w:ascii="Calibri" w:cs="Calibri" w:eastAsia="Calibri" w:hAnsi="Calibri"/>
        </w:rPr>
        <w:t xml:space="preserve">, em anexo ao </w:t>
      </w:r>
      <w:r>
        <w:rPr>
          <w:rFonts w:ascii="Calibri" w:cs="Calibri" w:eastAsia="Calibri" w:hAnsi="Calibri"/>
          <w:b/>
          <w:bCs/>
        </w:rPr>
        <w:t xml:space="preserve">Decreto-Lei n.º 125/2025</w:t>
      </w:r>
      <w:r>
        <w:rPr>
          <w:rFonts w:ascii="Calibri" w:cs="Calibri" w:eastAsia="Calibri" w:hAnsi="Calibri"/>
        </w:rPr>
        <w:t xml:space="preserve">, transpõe para Portugal a </w:t>
      </w:r>
      <w:r>
        <w:rPr>
          <w:rFonts w:ascii="Calibri" w:cs="Calibri" w:eastAsia="Calibri" w:hAnsi="Calibri"/>
          <w:b/>
          <w:bCs/>
        </w:rPr>
        <w:t xml:space="preserve">Diretiva (UE) 2022/2555 (NIS2)</w:t>
      </w:r>
      <w:r>
        <w:rPr>
          <w:rFonts w:ascii="Calibri" w:cs="Calibri" w:eastAsia="Calibri" w:hAnsi="Calibri"/>
        </w:rPr>
        <w:t xml:space="preserve">. O </w:t>
      </w:r>
      <w:r>
        <w:rPr>
          <w:rFonts w:ascii="Calibri" w:cs="Calibri" w:eastAsia="Calibri" w:hAnsi="Calibri"/>
          <w:b/>
          <w:bCs/>
        </w:rPr>
        <w:t xml:space="preserve">Regulamento do CNCS n.º 756/2026</w:t>
      </w:r>
      <w:r>
        <w:rPr>
          <w:rFonts w:ascii="Calibri" w:cs="Calibri" w:eastAsia="Calibri" w:hAnsi="Calibri"/>
        </w:rPr>
        <w:t xml:space="preserve"> fixa as medidas mínimas, o Quadro Nacional de Referência para a Cibersegurança (QNRCS) e os procedimentos junto do Centro Nacional de Cibersegurança (CNCS).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4"/>
        <w:gridCol w:w="3044"/>
      </w:tblGrid>
      <w:tr>
        <w:trPr>
          <w:tblHeader/>
        </w:trPr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Entrada em vigor do DL 125/2025</w:t>
            </w:r>
          </w:p>
        </w:tc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 de abril de 2026</w:t>
            </w:r>
          </w:p>
        </w:tc>
      </w:tr>
      <w:tr>
        <w:trPr>
          <w:cantSplit/>
        </w:trPr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Publicação do Regulamento n.º 756/2026</w:t>
            </w:r>
          </w:p>
        </w:tc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22 de junho de 2026</w:t>
            </w:r>
          </w:p>
        </w:tc>
      </w:tr>
      <w:tr>
        <w:trPr>
          <w:cantSplit/>
        </w:trPr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Efeitos dos arts. 27.º, n.os 1 e 2, 28.º a 30.º e 33.º do RJC (medidas, fornecedores, análise de riscos, relatório anual)</w:t>
            </w:r>
          </w:p>
        </w:tc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22 de junho de 2028 (DL 125/2025, art. 10.º, n.º 2)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Qualificações possíveis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Qualificação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implica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essencial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Todas as obrigações do RJC; relatório anual; medidas mínimas do nível de conformidade notificado pelo CNCS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importante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Obrigações do RJC e medidas mínimas do nível de conformidade notificado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pública relevante (Grupo A ou B)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do Anexo IV do Reg. 756/2026; o Grupo A aplica também as do Grupo B (art. 30.º, n.º 3)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abrangida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 obrigações do RJC; pode seguir as medidas como boas práticas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O nível de conformidade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Básico, Substancial ou Elevado. Só fica definido quando o CNCS o notifica; até lá, o cálculo da AnkoraOne é indicativo.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Os níveis são cumulativos: quem está no Substancial ou no Elevado aplica também as medidas dos níveis inferiores (Reg. 756/2026, art. 30.º, n.º 2).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O que a lei pede, por área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tabela resume as obrigações principais e onde as trabalhar na AnkoraOne. A base legal completa de cada uma está na Biblioteca Legal.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3614"/>
        <w:gridCol w:w="3012"/>
      </w:tblGrid>
      <w:tr>
        <w:trPr>
          <w:tblHeader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e qualificação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8.º e 35.º; Reg. 756/2026, arts. 6.º a 11.º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Enquadramento · Jornada A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Responsabilidade da gestão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25.º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B · Documentos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31.º e 32.º; Reg. 756/2026, arts. 14.º e 15.º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B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dos riscos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26.º e 29.º; Reg. 756/2026, art. 31.º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Risco · Jornada C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de cibersegurança (nove áreas)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27.º; Reg. 756/2026, art. 30.º e Anexos III e IV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Biblioteca Legal › Conformidade · Jornada D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Ativos acessíveis pela Internet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32.º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Ativos e ferramentas · Jornada D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Cadeia de abastecimento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28.º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 · Cadeia de Abastecimento · Jornada E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Incidentes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40.º a 44.º e 48.º; Reg. 756/2026, art. 20.º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Incidentes · Jornada F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Formação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25.º; QNRCS PR.FC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G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 e supervisão</w:t>
            </w:r>
          </w:p>
        </w:tc>
        <w:tc>
          <w:tcPr>
            <w:tcW w:type="dxa" w:w="36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30.º, 54.º e 55.º; Reg. 756/2026, art. 13.º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Jornada H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As medidas mínimas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Entidades essenciais e importantes: o QNRCS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Anexo I do Regulamento n.º 756/2026 tem </w:t>
      </w:r>
      <w:r>
        <w:rPr>
          <w:rFonts w:ascii="Calibri" w:cs="Calibri" w:eastAsia="Calibri" w:hAnsi="Calibri"/>
          <w:b/>
          <w:bCs/>
        </w:rPr>
        <w:t xml:space="preserve">107 controlos</w:t>
      </w:r>
      <w:r>
        <w:rPr>
          <w:rFonts w:ascii="Calibri" w:cs="Calibri" w:eastAsia="Calibri" w:hAnsi="Calibri"/>
        </w:rPr>
        <w:t xml:space="preserve"> organizados em seis objetivos. O Anexo III indica, para cada controlo, a medida mínima por nível e o critério de verificação, que é o que a AnkoraOne mostra como «O que guardar como evidência».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4"/>
        <w:gridCol w:w="2142"/>
        <w:gridCol w:w="2142"/>
      </w:tblGrid>
      <w:tr>
        <w:trPr>
          <w:tblHeader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Categorias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Gerir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Identificar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Proteger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Detetar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Responder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Recuperar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Medidas definidas por nível no Anexo III: </w:t>
      </w:r>
      <w:r>
        <w:rPr>
          <w:rFonts w:ascii="Calibri" w:cs="Calibri" w:eastAsia="Calibri" w:hAnsi="Calibri"/>
          <w:b/>
          <w:bCs/>
        </w:rPr>
        <w:t xml:space="preserve">43</w:t>
      </w:r>
      <w:r>
        <w:rPr>
          <w:rFonts w:ascii="Calibri" w:cs="Calibri" w:eastAsia="Calibri" w:hAnsi="Calibri"/>
        </w:rPr>
        <w:t xml:space="preserve"> no Básico, </w:t>
      </w:r>
      <w:r>
        <w:rPr>
          <w:rFonts w:ascii="Calibri" w:cs="Calibri" w:eastAsia="Calibri" w:hAnsi="Calibri"/>
          <w:b/>
          <w:bCs/>
        </w:rPr>
        <w:t xml:space="preserve">59</w:t>
      </w:r>
      <w:r>
        <w:rPr>
          <w:rFonts w:ascii="Calibri" w:cs="Calibri" w:eastAsia="Calibri" w:hAnsi="Calibri"/>
        </w:rPr>
        <w:t xml:space="preserve"> no Substancial e </w:t>
      </w:r>
      <w:r>
        <w:rPr>
          <w:rFonts w:ascii="Calibri" w:cs="Calibri" w:eastAsia="Calibri" w:hAnsi="Calibri"/>
          <w:b/>
          <w:bCs/>
        </w:rPr>
        <w:t xml:space="preserve">51</w:t>
      </w:r>
      <w:r>
        <w:rPr>
          <w:rFonts w:ascii="Calibri" w:cs="Calibri" w:eastAsia="Calibri" w:hAnsi="Calibri"/>
        </w:rPr>
        <w:t xml:space="preserve"> no Elevado. Como os níveis são cumulativos, uma entidade no nível Elevado aplica as medidas dos três.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Entidades públicas relevantes: o Anexo IV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Grupo B tem </w:t>
      </w:r>
      <w:r>
        <w:rPr>
          <w:rFonts w:ascii="Calibri" w:cs="Calibri" w:eastAsia="Calibri" w:hAnsi="Calibri"/>
          <w:b/>
          <w:bCs/>
        </w:rPr>
        <w:t xml:space="preserve">18 medidas</w:t>
      </w:r>
      <w:r>
        <w:rPr>
          <w:rFonts w:ascii="Calibri" w:cs="Calibri" w:eastAsia="Calibri" w:hAnsi="Calibri"/>
        </w:rPr>
        <w:t xml:space="preserve"> e o Grupo A </w:t>
      </w:r>
      <w:r>
        <w:rPr>
          <w:rFonts w:ascii="Calibri" w:cs="Calibri" w:eastAsia="Calibri" w:hAnsi="Calibri"/>
          <w:b/>
          <w:bCs/>
        </w:rPr>
        <w:t xml:space="preserve">22</w:t>
      </w:r>
      <w:r>
        <w:rPr>
          <w:rFonts w:ascii="Calibri" w:cs="Calibri" w:eastAsia="Calibri" w:hAnsi="Calibri"/>
        </w:rPr>
        <w:t xml:space="preserve">; uma entidade do Grupo A aplica as duas listas. Cada medida tem área, texto e critério de verificação.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Abra </w:t>
            </w:r>
            <w:r>
              <w:rPr>
                <w:rFonts w:ascii="Calibri" w:cs="Calibri" w:eastAsia="Calibri" w:hAnsi="Calibri"/>
                <w:b/>
                <w:bCs/>
              </w:rPr>
              <w:t xml:space="preserve">Biblioteca Legal › Conformidade</w:t>
            </w:r>
            <w:r>
              <w:rPr>
                <w:rFonts w:ascii="Calibri" w:cs="Calibri" w:eastAsia="Calibri" w:hAnsi="Calibri"/>
              </w:rPr>
              <w:t xml:space="preserve">: só aparecem as medidas do seu nível ou grupo. Para cada uma defina o estado e o responsável, guarde a evidência pedida e exporte o progresso em CSV.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Roteiro de implementação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ordem abaixo segue a jornada da AnkoraOne. As fases 1 e 2 têm prazos curtos; comece por elas.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098"/>
        <w:gridCol w:w="2237"/>
        <w:gridCol w:w="2410"/>
      </w:tblGrid>
      <w:tr>
        <w:trPr>
          <w:tblHeader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0. Enquadramento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Confirmar se está abrangida, a qualificação e o nível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Clientes › Enquadramento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de enquadramento (PDF) e jornada criada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Registo e governação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Conta no CNCS, autoidentificação, responsável e ponto de contacto, aprovação pela gestão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A e B · Documentos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no CNCS; nomeações comunicadas; política aprovada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Riscos e ativos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ativos, análise de riscos anual, risco residual, lista do art. 32.º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Ativos e ferramentas · Gestão de Risco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Inventário, registo de riscos, lista enviada ao CNCS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Medidas mínimas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Aplicar as medidas do nível e cobrir as nove áreas do art. 27.º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Biblioteca Legal › Conformidade · Evidências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Medidas com evidência aceite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 Fornecedores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Identificar os críticos e avaliar o risco todos os anos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 · Questionários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Avaliações e cláusulas contratuais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 Incidentes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incidente significativo, procedimento e canais alternativos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Incidentes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testado; modelos de notificação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 Formação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para todo o pessoal, formação específica e exercícios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Jornada G · Tarefas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e registos de formação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 Relatórios e supervisão</w:t>
            </w:r>
          </w:p>
        </w:tc>
        <w:tc>
          <w:tcPr>
            <w:tcW w:type="dxa" w:w="309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anual, evidências organizadas, certificações</w:t>
            </w:r>
          </w:p>
        </w:tc>
        <w:tc>
          <w:tcPr>
            <w:tcW w:type="dxa" w:w="223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Repositório documental</w:t>
            </w:r>
          </w:p>
        </w:tc>
        <w:tc>
          <w:tcPr>
            <w:tcW w:type="dxa" w:w="24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 entregue; dossiê pronto para o CNCS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A jornada completa (35 tarefas)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Lista das tarefas da jornada de conformidade RJC_2026, com a base legal de cada uma. As tarefas marcadas produzem efeitos a 22 de junho de 2028.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 Âmbito, autoidentificação e qualificação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Confirmar se a entidade está abrangida pelo regime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3.º, 4.º, 6.º e 7.º e Anexos I e II; Reg. 756/2026, art. 4.º, n.os 6 e 7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Criar a conta da entidade na plataforma do CNCS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arts. 6.º e 7.º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Fazer a autoidentificação no CNCS (30 dias após iniciar atividade; 60 dias após a plataforma do CNCS estar disponível, se já está em atividade)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8.º, n.º 1; Reg. 756/2026, art. 8.º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Responder ao projeto de qualificação do CNCS em 10 dias úteis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9.º, n.os 1 a 3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Registar na AnkoraOne a qualificação e o nível notificados pelo CNCS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8.º, n.º 5; Reg. 756/2026, art. 9.º, n.os 4 a 6 e 10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Completar o registo definitivo no CNCS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35.º; Reg. 756/2026, art. 10.º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Manter os dados do registo atualizados (alterações em 30 dias úteis; 3 meses para os prestadores digitais do art. 35.º, n.º 4)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35.º, n.os 3 e 4; Reg. 756/2026, art. 11.º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A ordem das tarefas é a recomendada; pode trabalhar várias secções em paralelo.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B. Governação e responsáveis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gestão aprova as medidas de cibersegurança e acompanha a sua aplicação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25.º, n.º 1, alíneas a) e b)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gestão garante formação regular em cibersegurança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25.º, n.º 1, alínea d)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Nomear o responsável de cibersegurança e comunicá-lo em 20 dias úteis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31.º, n.os 1, 3 e 4; Reg. 756/2026, art. 14.º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Comunicar logo a substituição do responsável de cibersegurança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31.º, n.º 5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Indicar o ponto de contacto permanente em 20 dias úteis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32.º; Reg. 756/2026, art. 15.º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C. Gestão dos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Pôr em prática a gestão dos riscos de cibersegurança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26.º, n.os 1 a 3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Analisar os riscos de todos os ativos, pelo menos uma vez por ano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29.º; Reg. 756/2026, art. 31.º, n.os 1 a 3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 o risco que fica depois de aplicar as medidas (risco residual)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29.º, n.º 2; Reg. 756/2026, art. 31.º, n.º 4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D. Medidas de cibersegurança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Aplicar as medidas mínimas do seu nível (ver Biblioteca Legal › Conformidade)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30.º e Anexos III e IV; RJC, art. 33.º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Cobrir as nove áreas obrigatórias: incidentes, continuidade, fornecedores, desenvolvimento, eficácia, formação, cifra, acessos e ativos, autenticação forte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27.º, n.º 1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Corrigir sem demora as falhas encontradas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27.º, n.º 2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Enviar ao CNCS a lista de ativos acessíveis pela Internet e atualizá-la todos os anos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32.º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Adaptar-se em 6 meses a uma nova qualificação ou a novas medidas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26.º, n.º 8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E. Cadeia de abastecimento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Identificar os fornecedores críticos e avaliar o seu risco todos os anos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Anexo III (QNRCS GR.CA-7)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 as práticas de segurança e a qualidade dos produtos de cada fornecedor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28.º, alíneas a) a c)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 em conta as avaliações coordenadas de risco e as restrições a equipamentos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28.º, alíneas d) e e)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F. Incidentes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Definir quando um incidente é significativo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40.º, n.os 3 e 4; Reg. 756/2026, art. 20.º, n.º 3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Preparar as notificações ao CNCS: 24 h, 72 h, fim do impacto em 24 h e relatório final em 30 dias úteis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41.º a 44.º; Reg. 756/2026, art. 20.º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 canais alternativos (email ou telefone) se a plataforma falhar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17.º e art. 20.º, n.º 4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Informar os clientes afetados por incidentes significativos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48.º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Cumprir as outras notificações obrigatórias (MP, PJ, CNPD, GNS)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40.º, n.º 5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G. Formação e sensibilização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 e cumprir um plano de formação em cibersegurança para todo o pessoal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Anexo III (QNRCS PR.FC-1 e PR.FC-2)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Dar formação específica às equipas técnicas e à gestão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Anexo III (QNRCS PR.FC-2)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Fazer testes e exercícios e aplicar as melhorias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Anexo III (QNRCS ID.MC-2)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H. Relatórios, certificação e supervisão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3213"/>
        <w:gridCol w:w="1512"/>
      </w:tblGrid>
      <w:tr>
        <w:trPr>
          <w:tblHeader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Enviar o relatório anual (essenciais: até ao último dia útil de janeiro)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30.º; Reg. 756/2026, art. 13.º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partir de 22-06-2028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Comunicar alterações às certificações (revogação em 72 h; restantes em 10 dias úteis)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27.º, n.º 6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 as evidências organizadas para a supervisão do CNCS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54.º e 55.º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  <w:tr>
        <w:trPr>
          <w:cantSplit/>
        </w:trPr>
        <w:tc>
          <w:tcPr>
            <w:tcW w:type="dxa" w:w="49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Comunicar a adesão a acordos de partilha de informação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24.º, n.os 6 e 7</w:t>
            </w:r>
          </w:p>
        </w:tc>
        <w:tc>
          <w:tcPr>
            <w:tcW w:type="dxa" w:w="15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Já em vigor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Prazos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tblHeader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legal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Autoidentificação no CNCS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após o início de atividade; 60 dias após a plataforma do CNCS ficar disponível, se já estiver em atividade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8.º, n.º 1; Reg. 756/2026, art. 8.º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Resposta ao projeto de qualificação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9.º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de cibersegurança e ponto de contacto permanente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31.º e 32.º; Reg. 756/2026, arts. 14.º e 15.º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Alteração de dados do registo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 (3 meses para os prestadores digitais do art. 35.º, n.º 4)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35.º, n.os 3 e 4; Reg. 756/2026, art. 11.º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Notificação inicial de incidente significativo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arts. 41.º e 42.º; Reg. 756/2026, art. 20.º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Atualização da notificação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72 horas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Fim do impacto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24 horas após o fim do impacto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final do incidente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44.º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ativos acessíveis pela Internet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Até 31 de janeiro do ano seguinte à qualificação ou em 6 meses (o que ocorrer primeiro); depois, anual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32.º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anual (entidades essenciais)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Último dia útil de janeiro do ano seguinte; o primeiro em janeiro de 2029, relativo a 2028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30.º; Reg. 756/2026, art. 13.º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às certificações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Revogação em 72 horas; restantes em 10 dias úteis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Reg. 756/2026, art. 27.º, n.º 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Adaptação a nova qualificação ou novas medidas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 meses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RJC, art. 26.º, n.º 8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Ao registar um incidente, a plataforma calcula os prazos de notificação a partir da hora de deteção e prepara os textos. Os lembretes de prazos configuram-se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Definições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A NIS2 e a ISO/IEC 27001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Anexo I do Regulamento n.º 756/2026 indica, para cada controlo do QNRCS, os controlos correspondentes da ISO/IEC 27001 e 27002. Com essas referências oficiais, </w:t>
      </w:r>
      <w:r>
        <w:rPr>
          <w:rFonts w:ascii="Calibri" w:cs="Calibri" w:eastAsia="Calibri" w:hAnsi="Calibri"/>
          <w:b/>
          <w:bCs/>
        </w:rPr>
        <w:t xml:space="preserve">92 dos 93 controlos</w:t>
      </w:r>
      <w:r>
        <w:rPr>
          <w:rFonts w:ascii="Calibri" w:cs="Calibri" w:eastAsia="Calibri" w:hAnsi="Calibri"/>
        </w:rPr>
        <w:t xml:space="preserve"> do Anexo A da ISO/IEC 27001 ficam ligados a controlos do QNRCS. Uma evidência guardada para uma medida do RJC conta também no guia ISO/IEC 27001.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certificação ISO/IEC 27001 não substitui as obrigações do RJC (registo, notificações, relatório anual), mas a maior parte do trabalho de medidas e evidências é comum.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Lista de verificação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Arranque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Enquadramento confirmado e relatório guardado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Conta na plataforma do CNCS e autoidentificação feitas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Responsável de cibersegurança e ponto de contacto comunicados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Medidas de cibersegurança aprovadas pela gestão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Funcionamento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Inventário de ativos e lista do art. 32.º enviada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Análise de riscos anual e risco residual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Medidas mínimas do nível com evidência aceite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Fornecedores críticos avaliados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Procedimento de incidentes testado e canais alternativos definidos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Plano de formação em curso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Relatório anual preparado (entidades essenciais)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Este guia descreve a plataforma e a legislação em outubro de 2026. As referências remetem para os textos publicados no Diário da República e no EUR-Lex, disponíveis na Biblioteca Legal.</w:t>
      </w:r>
    </w:p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Guia de implementação · NIS2 (RJC)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AnkoraOne — Guia NIS2 (RJC)</dc:title>
  <dc:creator>AnkoraOne</dc:creator>
  <dc:description>Guia de implementação do Regime Jurídico da Cibersegurança (NIS2) na AnkoraOne</dc:description>
  <cp:lastModifiedBy>Un-named</cp:lastModifiedBy>
  <cp:revision>1</cp:revision>
  <dcterms:created xsi:type="dcterms:W3CDTF">2026-10-27T00:06:42.943Z</dcterms:created>
  <dcterms:modified xsi:type="dcterms:W3CDTF">2026-10-27T00:06:42.943Z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