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A13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24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40"/>
                <w:sz w:val="18"/>
                <w:szCs w:val="18"/>
              </w:rPr>
              <w:t xml:space="preserve">MODELO DE REGISTO · AO-REG-01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Registo de alteração e publicação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Prova, para cada alteração à plataforma, quem a pediu, como foi testada e revista, quando foi publicada e como se volta atrás.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Como preencher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registo por publicação em produção. Alterações agrupadas no mesmo PR partilham o registo.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Preencha a secção 4 com o resultado e a evidência (ligação ao PR, ao teste ou ao relatório de revisão).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alteração que toque na Biblioteca Legal exige a decisão explícita do responsável do repositório antes da publicação.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Controlo do registo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N.º do registo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AO-REG-01-AAAA-NNN (ano e número sequencial)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de arquivo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Pasta, repositório ou ligação onde o registo assinado fica guardado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Prazo de conservação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Conforme a política de retenção da Neora e o contrato com 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Título da alteração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Resumo numa linha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Pedida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organização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Motivo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Requisito novo     ☐ Correção     ☐ Segurança     ☐ Legal ou regulatório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 no GitHub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Número e ligação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Ramo e autor do código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do pedido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Classificação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Urgência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Normal     ☐ Urgente (segurança ou falha em produção)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Âmbito sensível (assinale tudo o que se aplica)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Biblioteca Legal ou modelos documentais     ☐ Regras de acesso ou dados de clientes</w:t>
            </w:r>
          </w:p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Segredos ou integrações externas     ☐ Dados pessoais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Avaliação de impacto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Componentes afetados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Páginas, funções, entidades, workflows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Clientes afetados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Todos, alguns (quais) ou nenhum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Dados pessoais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Sim ou não; se sim, que categorias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Alterações ao modelo de dados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Entidades ou campos criados, alterados ou removidos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Riscos e mitigação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Testes e verificações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28"/>
        <w:gridCol w:w="4240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Teste «checks» no GitHub (obrigatório no ramo main)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Integridade da Biblioteca Legal (manifesto SHA-256)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Verificação de nomes por definir nas funções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Regras de acesso delegado atualizadas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Testes do servidor próprio (quando aplicável)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Testes manuais na app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Revisão independente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2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Publicação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Checkpoint publicado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Identificador na Base44 (ou versão no servidor próprio)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Commit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Hash Git do código publicado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 HH:MM (hora de Lisboa)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Publicado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Versão de reversão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Checkpoint ou versão anterior, para voltar atrás se for preciso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Verificação após publicar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O que foi conferido em produção e com que resultado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Revisor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 pela publicação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</w:tr>
      <w:tr>
        <w:trPr>
          <w:cantSplit/>
          <w:trHeight w:val="90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9638"/>
      </w:tabs>
    </w:pPr>
    <w:r>
      <w:rPr>
        <w:rFonts w:ascii="Calibri" w:cs="Calibri" w:eastAsia="Calibri" w:hAnsi="Calibri"/>
        <w:color w:val="5B6474"/>
        <w:sz w:val="15"/>
        <w:szCs w:val="15"/>
      </w:rPr>
      <w:t xml:space="preserve">AnkoraOne · Neora Consulting · Modelo AO-REG-01, versão 1.0 (outubro de 2026)</w:t>
    </w:r>
    <w:r>
      <w:rPr>
        <w:rFonts w:ascii="Calibri" w:cs="Calibri" w:eastAsia="Calibri" w:hAnsi="Calibri"/>
        <w:color w:val="5B6474"/>
        <w:sz w:val="15"/>
        <w:szCs w:val="15"/>
      </w:rPr>
      <w:t xml:space="preserve">	Página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4"/>
        <w:sz w:val="15"/>
        <w:szCs w:val="15"/>
      </w:rPr>
      <w:t xml:space="preserve"> de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r>
            <w:drawing>
              <wp:inline distT="0" distB="0" distL="0" distR="0">
                <wp:extent cx="1143000" cy="257175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70A13"/>
              <w:sz w:val="16"/>
              <w:szCs w:val="16"/>
            </w:rPr>
            <w:t xml:space="preserve">AO-REG-01 · Registo de alteração e publicação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B6474"/>
              <w:sz w:val="15"/>
              <w:szCs w:val="15"/>
            </w:rPr>
            <w:t xml:space="preserve">Uso interno e do cliente · Confidencial</w:t>
          </w:r>
        </w:p>
      </w:tc>
    </w:tr>
  </w:tbl>
  <w:p>
    <w:r>
      <w:drawing>
        <wp:anchor distT="0" distB="0" distL="0" distR="0" simplePos="0" allowOverlap="1" behindDoc="1" locked="0" layoutInCell="1" relativeHeight="34766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476625"/>
          <wp:effectExtent t="0" r="0" b="0" l="0"/>
          <wp:wrapNone/>
          <wp:docPr id="1" name="Marca de água AnkoraOne" descr="Símbolo A1 da AnkoraOne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47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8A66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528c126367564cf13ce7d6ea2e9b48b0c548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50425be630c5bbcbb3c21cb86b4293da4b2400.png"/><Relationship Id="rId1" Type="http://schemas.openxmlformats.org/officeDocument/2006/relationships/image" Target="media/5e5daf57cfd3e674eb80ef2ff57aad819ec1cab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AO-REG-01 · Registo de alteração e publicação</dc:title>
  <dc:creator>AnkoraOne</dc:creator>
  <dc:description>Prova, para cada alteração à plataforma, quem a pediu, como foi testada e revista, quando foi publicada e como se volta atrás.</dc:description>
  <cp:lastModifiedBy>Un-named</cp:lastModifiedBy>
  <cp:revision>1</cp:revision>
  <dcterms:created xsi:type="dcterms:W3CDTF">2026-10-30T08:26:49.755Z</dcterms:created>
  <dcterms:modified xsi:type="dcterms:W3CDTF">2026-10-30T08:26:49.756Z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