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70A13" w:color="auto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spacing w:after="240"/>
            </w:pPr>
            <w:r>
              <w:drawing>
                <wp:inline distT="0" distB="0" distL="0" distR="0">
                  <wp:extent cx="1619250" cy="371475"/>
                  <wp:effectExtent t="0" r="0" b="0" l="0"/>
                  <wp:docPr id="1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FA04A"/>
                <w:spacing w:val="40"/>
                <w:sz w:val="18"/>
                <w:szCs w:val="18"/>
              </w:rPr>
              <w:t xml:space="preserve">MODELO DE REGISTO · AO-REG-05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Registo de ensaio e migração de dados</w:t>
            </w:r>
          </w:p>
          <w:p>
            <w:pPr>
              <w:spacing w:after="0" w:line="288"/>
            </w:pPr>
            <w:r>
              <w:rPr>
                <w:rFonts w:ascii="Calibri" w:cs="Calibri" w:eastAsia="Calibri" w:hAnsi="Calibri"/>
                <w:color w:val="C9CFDA"/>
                <w:sz w:val="20"/>
                <w:szCs w:val="20"/>
              </w:rPr>
              <w:t xml:space="preserve">Prova que uma cópia ou migração de dados entre plataformas foi completa e íntegra: o que saiu da origem, o que chegou ao destino e as diferenças.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6F5F3" w:sz="4"/>
              <w:left w:val="single" w:color="E6F5F3" w:sz="4"/>
              <w:bottom w:val="single" w:color="E6F5F3" w:sz="4"/>
              <w:right w:val="single" w:color="E6F5F3" w:sz="4"/>
            </w:tcBorders>
            <w:shd w:fill="E6F5F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766C"/>
              </w:rPr>
              <w:t xml:space="preserve">Como preencher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 um registo por ensaio e outro para a migração definitiva de cada cliente.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contagens e as verificações SHA-256 vêm do relatório automático da migração; anexe-o.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Uma diferença sem explicação reprova a migração e obriga a reverter.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Controlo do registo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N.º do registo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AO-REG-05-AAAA-NNN (ano e número sequencial)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Data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DD/MM/AAAA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Preenchido por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Nome e função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Local de arquivo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Pasta, repositório ou ligação onde o registo assinado fica guardado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Prazo de conservação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Conforme a política de retenção da Neora e o contrato com o cliente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1. Identificação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Tipo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 Ensaio     ☐ Migração definitiva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Origem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Por exemplo: Base44, app 6adf8df8…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Destino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Servidor, região e versão</w:t>
            </w:r>
          </w:p>
        </w:tc>
      </w:tr>
      <w:tr>
        <w:trPr>
          <w:cantSplit/>
          <w:trHeight w:val="90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Âmbito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Clientes, entidades e ficheiros abrangidos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Janela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Início e fim (data e hora)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Responsável técnico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Responsável do cliente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Só na migração definitiva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2. Preparação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Cópia de segurança da origem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Onde fica e de que data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Plano de reversão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Como se volta à origem e em quanto tempo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Clientes avisados em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DD/MM/AAAA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3. Resultados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349"/>
        <w:gridCol w:w="1349"/>
        <w:gridCol w:w="1542"/>
        <w:gridCol w:w="2507"/>
      </w:tblGrid>
      <w:tr>
        <w:trPr>
          <w:tblHeader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Conjunto de dados</w:t>
            </w: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 origem</w:t>
            </w: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 destino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Diferenças</w:t>
            </w:r>
          </w:p>
        </w:tc>
        <w:tc>
          <w:tcPr>
            <w:tcW w:type="dxa" w:w="250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Verificação</w:t>
            </w:r>
          </w:p>
        </w:tc>
      </w:tr>
      <w:tr>
        <w:trPr>
          <w:cantSplit/>
          <w:trHeight w:val="480" w:hRule="atLeast"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Clientes</w:t>
            </w: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250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  <w:tr>
        <w:trPr>
          <w:cantSplit/>
          <w:trHeight w:val="480" w:hRule="atLeast"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Utilizadores</w:t>
            </w: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250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  <w:tr>
        <w:trPr>
          <w:cantSplit/>
          <w:trHeight w:val="480" w:hRule="atLeast"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Avaliações e respostas</w:t>
            </w: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250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  <w:tr>
        <w:trPr>
          <w:cantSplit/>
          <w:trHeight w:val="480" w:hRule="atLeast"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Evidências (ficheiros)</w:t>
            </w: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250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  <w:tr>
        <w:trPr>
          <w:cantSplit/>
          <w:trHeight w:val="480" w:hRule="atLeast"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Documentos</w:t>
            </w: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250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  <w:tr>
        <w:trPr>
          <w:cantSplit/>
          <w:trHeight w:val="480" w:hRule="atLeast"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Trilha de auditoria</w:t>
            </w: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250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  <w:tr>
        <w:trPr>
          <w:cantSplit/>
          <w:trHeight w:val="480" w:hRule="atLeast"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Outros</w:t>
            </w: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  <w:tc>
          <w:tcPr>
            <w:tcW w:type="dxa" w:w="250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4. Verificações funcionais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8"/>
        <w:gridCol w:w="5590"/>
      </w:tblGrid>
      <w:tr>
        <w:trPr>
          <w:cantSplit/>
          <w:trHeight w:val="440" w:hRule="atLeast"/>
        </w:trPr>
        <w:tc>
          <w:tcPr>
            <w:tcW w:type="dxa" w:w="404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Isolamento entre clientes</w:t>
            </w:r>
          </w:p>
        </w:tc>
        <w:tc>
          <w:tcPr>
            <w:tcW w:type="dxa" w:w="559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 Conforme     ☐ Não conforme</w:t>
            </w:r>
          </w:p>
        </w:tc>
      </w:tr>
      <w:tr>
        <w:trPr>
          <w:cantSplit/>
          <w:trHeight w:val="440" w:hRule="atLeast"/>
        </w:trPr>
        <w:tc>
          <w:tcPr>
            <w:tcW w:type="dxa" w:w="404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Início de sessão e nova palavra-passe</w:t>
            </w:r>
          </w:p>
        </w:tc>
        <w:tc>
          <w:tcPr>
            <w:tcW w:type="dxa" w:w="559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 Conforme     ☐ Não conforme</w:t>
            </w:r>
          </w:p>
        </w:tc>
      </w:tr>
      <w:tr>
        <w:trPr>
          <w:cantSplit/>
          <w:trHeight w:val="440" w:hRule="atLeast"/>
        </w:trPr>
        <w:tc>
          <w:tcPr>
            <w:tcW w:type="dxa" w:w="404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Trilha de auditoria verificada sem quebras</w:t>
            </w:r>
          </w:p>
        </w:tc>
        <w:tc>
          <w:tcPr>
            <w:tcW w:type="dxa" w:w="559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 Conforme     ☐ Não conforme</w:t>
            </w:r>
          </w:p>
        </w:tc>
      </w:tr>
      <w:tr>
        <w:trPr>
          <w:cantSplit/>
          <w:trHeight w:val="440" w:hRule="atLeast"/>
        </w:trPr>
        <w:tc>
          <w:tcPr>
            <w:tcW w:type="dxa" w:w="404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Ficheiros privados abrem por ligação assinada</w:t>
            </w:r>
          </w:p>
        </w:tc>
        <w:tc>
          <w:tcPr>
            <w:tcW w:type="dxa" w:w="559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 Conforme     ☐ Não conforme</w:t>
            </w:r>
          </w:p>
        </w:tc>
      </w:tr>
      <w:tr>
        <w:trPr>
          <w:cantSplit/>
          <w:trHeight w:val="440" w:hRule="atLeast"/>
        </w:trPr>
        <w:tc>
          <w:tcPr>
            <w:tcW w:type="dxa" w:w="4048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Biblioteca Legal íntegra (manifesto)</w:t>
            </w:r>
          </w:p>
        </w:tc>
        <w:tc>
          <w:tcPr>
            <w:tcW w:type="dxa" w:w="559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 Conforme     ☐ Não conforme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5. Resultado e decisão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Resultado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 Aprovado     ☐ Aprovado com reservas     ☐ Reprovado: reverter</w:t>
            </w:r>
          </w:p>
        </w:tc>
      </w:tr>
      <w:tr>
        <w:trPr>
          <w:cantSplit/>
          <w:trHeight w:val="90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Observações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6. Assinaturas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rPr>
          <w:cantSplit/>
        </w:trPr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Responsável técnico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Neora Consulting</w:t>
            </w:r>
          </w:p>
        </w:tc>
        <w:tc>
          <w:tcPr>
            <w:tcW w:type="dxa" w:w="32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Cliente</w:t>
            </w:r>
          </w:p>
        </w:tc>
      </w:tr>
      <w:tr>
        <w:trPr>
          <w:cantSplit/>
          <w:trHeight w:val="420" w:hRule="atLeast"/>
        </w:trPr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Nome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Nome</w:t>
            </w:r>
          </w:p>
        </w:tc>
        <w:tc>
          <w:tcPr>
            <w:tcW w:type="dxa" w:w="32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Nome</w:t>
            </w:r>
          </w:p>
        </w:tc>
      </w:tr>
      <w:tr>
        <w:trPr>
          <w:cantSplit/>
          <w:trHeight w:val="420" w:hRule="atLeast"/>
        </w:trPr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Função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Função</w:t>
            </w:r>
          </w:p>
        </w:tc>
        <w:tc>
          <w:tcPr>
            <w:tcW w:type="dxa" w:w="32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Função</w:t>
            </w:r>
          </w:p>
        </w:tc>
      </w:tr>
      <w:tr>
        <w:trPr>
          <w:cantSplit/>
          <w:trHeight w:val="420" w:hRule="atLeast"/>
        </w:trPr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Data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Data</w:t>
            </w:r>
          </w:p>
        </w:tc>
        <w:tc>
          <w:tcPr>
            <w:tcW w:type="dxa" w:w="32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Data</w:t>
            </w:r>
          </w:p>
        </w:tc>
      </w:tr>
      <w:tr>
        <w:trPr>
          <w:cantSplit/>
          <w:trHeight w:val="900" w:hRule="atLeast"/>
        </w:trPr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Assinatura</w:t>
            </w:r>
          </w:p>
        </w:tc>
        <w:tc>
          <w:tcPr>
            <w:tcW w:type="dxa" w:w="321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Assinatura</w:t>
            </w:r>
          </w:p>
        </w:tc>
        <w:tc>
          <w:tcPr>
            <w:tcW w:type="dxa" w:w="321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Assinatura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00" w:right="1134" w:bottom="1134" w:left="1134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EE7" w:sz="4" w:space="4"/>
      </w:pBdr>
      <w:tabs>
        <w:tab w:val="right" w:pos="9638"/>
      </w:tabs>
    </w:pPr>
    <w:r>
      <w:rPr>
        <w:rFonts w:ascii="Calibri" w:cs="Calibri" w:eastAsia="Calibri" w:hAnsi="Calibri"/>
        <w:color w:val="5B6474"/>
        <w:sz w:val="15"/>
        <w:szCs w:val="15"/>
      </w:rPr>
      <w:t xml:space="preserve">AnkoraOne · Neora Consulting · Modelo AO-REG-05, versão 1.0 (outubro de 2026)</w:t>
    </w:r>
    <w:r>
      <w:rPr>
        <w:rFonts w:ascii="Calibri" w:cs="Calibri" w:eastAsia="Calibri" w:hAnsi="Calibri"/>
        <w:color w:val="5B6474"/>
        <w:sz w:val="15"/>
        <w:szCs w:val="15"/>
      </w:rPr>
      <w:t xml:space="preserve">	Página </w:t>
    </w:r>
    <w:r>
      <w:rPr>
        <w:rFonts w:ascii="Calibri" w:cs="Calibri" w:eastAsia="Calibri" w:hAnsi="Calibri"/>
        <w:color w:val="5B6474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474"/>
        <w:sz w:val="15"/>
        <w:szCs w:val="15"/>
      </w:rPr>
      <w:t xml:space="preserve"> de </w:t>
    </w:r>
    <w:r>
      <w:rPr>
        <w:rFonts w:ascii="Calibri" w:cs="Calibri" w:eastAsia="Calibri" w:hAnsi="Calibri"/>
        <w:color w:val="5B6474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819"/>
      <w:gridCol w:w="4819"/>
    </w:tblGrid>
    <w:tr>
      <w:tc>
        <w:tcPr>
          <w:tcW w:type="dxa" w:w="4819"/>
          <w:tcBorders>
            <w:top w:val="none" w:color="FFFFFF" w:sz="0"/>
            <w:left w:val="none" w:color="FFFFFF" w:sz="0"/>
            <w:bottom w:val="single" w:color="CFA04A" w:sz="6"/>
            <w:right w:val="none" w:color="FFFFFF" w:sz="0"/>
          </w:tcBorders>
          <w:tcMar>
            <w:bottom w:type="dxa" w:w="80"/>
          </w:tcMar>
          <w:vAlign w:val="bottom"/>
        </w:tcPr>
        <w:p>
          <w:r>
            <w:drawing>
              <wp:inline distT="0" distB="0" distL="0" distR="0">
                <wp:extent cx="1143000" cy="257175"/>
                <wp:effectExtent t="0" r="0" b="0" l="0"/>
                <wp:docPr id="14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257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tcBorders>
            <w:top w:val="none" w:color="FFFFFF" w:sz="0"/>
            <w:left w:val="none" w:color="FFFFFF" w:sz="0"/>
            <w:bottom w:val="single" w:color="CFA04A" w:sz="6"/>
            <w:right w:val="none" w:color="FFFFFF" w:sz="0"/>
          </w:tcBorders>
          <w:tcMar>
            <w:bottom w:type="dxa" w:w="80"/>
          </w:tcMar>
          <w:vAlign w:val="bottom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070A13"/>
              <w:sz w:val="16"/>
              <w:szCs w:val="16"/>
            </w:rPr>
            <w:t xml:space="preserve">AO-REG-05 · Registo de ensaio e migração de dados</w:t>
          </w:r>
        </w:p>
        <w:p>
          <w:pPr>
            <w:jc w:val="right"/>
          </w:pPr>
          <w:r>
            <w:rPr>
              <w:rFonts w:ascii="Calibri" w:cs="Calibri" w:eastAsia="Calibri" w:hAnsi="Calibri"/>
              <w:color w:val="5B6474"/>
              <w:sz w:val="15"/>
              <w:szCs w:val="15"/>
            </w:rPr>
            <w:t xml:space="preserve">Uso interno e do cliente · Confidencial</w:t>
          </w:r>
        </w:p>
      </w:tc>
    </w:tr>
  </w:tbl>
  <w:p>
    <w:r>
      <w:drawing>
        <wp:anchor distT="0" distB="0" distL="0" distR="0" simplePos="0" allowOverlap="1" behindDoc="1" locked="0" layoutInCell="1" relativeHeight="3476625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000500" cy="3476625"/>
          <wp:effectExtent t="0" r="0" b="0" l="0"/>
          <wp:wrapNone/>
          <wp:docPr id="13" name="Marca de água AnkoraOne" descr="Símbolo A1 da AnkoraOne" title="Marca de águ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00500" cy="3476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8A6620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d528c126367564cf13ce7d6ea2e9b48b0c54879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b50425be630c5bbcbb3c21cb86b4293da4b2400.png"/><Relationship Id="rId1" Type="http://schemas.openxmlformats.org/officeDocument/2006/relationships/image" Target="media/5e5daf57cfd3e674eb80ef2ff57aad819ec1cab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AO-REG-05 · Registo de ensaio e migração de dados</dc:title>
  <dc:creator>AnkoraOne</dc:creator>
  <dc:description>Prova que uma cópia ou migração de dados entre plataformas foi completa e íntegra: o que saiu da origem, o que chegou ao destino e as diferenças.</dc:description>
  <cp:lastModifiedBy>Un-named</cp:lastModifiedBy>
  <cp:revision>1</cp:revision>
  <dcterms:created xsi:type="dcterms:W3CDTF">2026-10-30T08:26:50.077Z</dcterms:created>
  <dcterms:modified xsi:type="dcterms:W3CDTF">2026-10-30T08:26:50.077Z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