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9"/>
          <w:szCs w:val="39"/>
          <w:rtl w:val="0"/>
        </w:rPr>
        <w:t xml:space="preserve">Primary Brain Health — Website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Scope of Work / RFP for Visual Boston — May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Prepared by: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David Bates, Founder &amp; </w:t>
      </w:r>
      <w:r w:rsidDel="00000000" w:rsidR="00000000" w:rsidRPr="00000000">
        <w:rPr>
          <w:rtl w:val="0"/>
        </w:rPr>
        <w:t xml:space="preserve">Interim CEO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Site: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primarybrainhealth.com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Stack (current):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Next.js + TinaCMS, deployed on Vercel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Supersedes: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PBH_Website_Phase2_Scope.md (May 8,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10" w:line="360" w:lineRule="auto"/>
        <w:rPr/>
      </w:pPr>
      <w:sdt>
        <w:sdtPr>
          <w:id w:val="-127705990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PBH is in parallel building its DTC clinical product (a $149 wellness assessment → Brain Health Navigator consult → primary-care handoff at MIM, Pennsylvania, C</w:t>
          </w:r>
        </w:sdtContent>
      </w:sdt>
      <w:r w:rsidDel="00000000" w:rsidR="00000000" w:rsidRPr="00000000">
        <w:rPr>
          <w:rtl w:val="0"/>
        </w:rPr>
        <w:t xml:space="preserve">ognoa PC, California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). That product needs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live, paying funnel by August 3, 2026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 The website is the front door.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This RFP therefore chunks the engagement into three discrete value units. The MVP slice is the only thing required for the August launch; the rest is sequenced around it and built only after we are confident the core experience works.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Slice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MVP slice (this RFP's primary 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sdt>
              <w:sdtPr>
                <w:id w:val="-109709022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V1 cleanup + the live consumer funnel that supports the $149 → BHN → handoff flow, including PCI-compliant payment processing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June 1 – July 31, 2026 (~4–6 weeks of build)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Fast-follow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Editorial / authority assets that drive top-of-funnel and trust: testimonials, journey map, cognitive screener, blog hub, full IA overhaul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Aug 10 – Sep 25,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Conversion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Marketing-conversion levers: families pathway, providers pathway, pricing page, founder explainer video, hero loop additions, newsletter system, press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Sep 28 – Nov 6,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The grander Tier C / Phase 3 vision is preserved at the bottom of this document so Visual Boston can architect for it — but it is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not in scope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for this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We are asking Visual Boston to price all three slices modularly so PBH can sequence investment and so any single slice can be re-scoped or re-bid without breaking the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1. Background &amp;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PBH is a virtual-first proactive brain health service. The current site is a clean, single-page funnel for a $149 brain-health consultation that captures lead info but does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not</w:t>
      </w:r>
      <w:sdt>
        <w:sdtPr>
          <w:id w:val="-78392947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 take payment online. In parallel, the underlying product is being rebuilt as an end-to-end clinical experience: assessment → BHN telehealth consult → medical-care intake → handoff into the partner clinic's EMR. The website must become the funnel for that product, in time for soft launch in early August 2026.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Primary KPIs the MVP slice must serve (in order):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Paid conversion rate</w:t>
      </w:r>
      <w:sdt>
        <w:sdtPr>
          <w:id w:val="-162277072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1"/>
              <w:szCs w:val="21"/>
              <w:rtl w:val="0"/>
            </w:rPr>
            <w:t xml:space="preserve"> — homepage → completed $149 payment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Funnel integrity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every event from landing through payment success is tracked, attributable, and handed off cleanly to the wellness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Trust at the decision point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for a $149 health service, professional polish matters more than feature breadth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Compliance posture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PCI-compliant payment, HIPAA-aware data handling at the seam, accessibility at WCAG 2.1 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KPIs the fast-follow and optimization slices serve (later):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Time-on-site, pages-per-session, newsletter capture, organic search traffic, provider-referral inquiries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2. MVP Slice — Required deliverables (June 1 – July 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The MVP slice has three internal sub-slices. Visual Boston should price them as a single integrated effort but track them separately so we can manage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Slice A — V1 Cleanup (Week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These are defects in the current live site that must be remediated as part of mobilization.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All 4 blog posts contain TinaCMS developer placeholder content (live and indexable)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Remove or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noindex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until real content lands in fast-follow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/about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(Team) page is orphaned — not linked in nav or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Add to main navigation -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7"/>
                <w:szCs w:val="17"/>
                <w:rtl w:val="0"/>
              </w:rPr>
              <w:t xml:space="preserve">plan to surface in Aug-Sept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/blog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(Resources) page is orphaned — not linked anywhere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Either add to nav or remove from index until fast-follow ships real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"Our Impact" section on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/about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renders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Populate with placeholder data (cohort numbers from pilot) or hide until fast-follow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Terms of Service references "the Sanctuary" (template artifact)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hyperlink r:id="rId9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17"/>
                  <w:szCs w:val="17"/>
                  <w:u w:val="single"/>
                  <w:rtl w:val="0"/>
                </w:rPr>
                <w:t xml:space="preserve">Content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Legal review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Blog card featured images missing/blank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Hide blog or stub with brand-appropriate placeholders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Blog header uses off-brand purple 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Restyle to brand system (teal/navy/cream)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Homepage hero loop animation has visible cutoff/clipping in bottom-right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Fix asset framing/masking; QA on mobile, tablet, desktop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Acceptance: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all P1–P8 items closed and verified on staging by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June 12, 2026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— this is the joint demo with PBH's Week-4 sandbox prototype walkthrough.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Slice B — MVP Funnel Build (Weeks 2–6)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This is the core of the engagement: the live consumer funnel </w:t>
      </w:r>
      <w:r w:rsidDel="00000000" w:rsidR="00000000" w:rsidRPr="00000000">
        <w:rPr>
          <w:rtl w:val="0"/>
        </w:rPr>
        <w:t xml:space="preserve">from the landing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page through payment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B1. Landing page (top of funnel)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 first-time visitor understands what they get for $149 and how to start within 30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Single-page hero with the value prop in plain language: a brain-health assessment, a personalized action plan, and a 30-minute consult with a Brain Health Navigator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Visible $149 price with what is and is not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Trust signals: Linus Health platform, MIM clinical partner, brief BHN team credentials (to be collected: Brook Health, Eli Health, Isaac Health, Synapticure, Sunday Health, Neurocode)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One primary CTA (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Start your assessment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) and one secondary CTA (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Learn how it works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FAQ block addressing: what the assessment is, who the BHN is, what happens after, what is and is not medical advice, refund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Footer with Privacy Policy, Notice of Privacy Practices, Terms of Service, contact, explicit wellness-vs-medical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sdt>
        <w:sdtPr>
          <w:id w:val="115030368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1"/>
              <w:szCs w:val="21"/>
              <w:rtl w:val="0"/>
            </w:rPr>
            <w:t xml:space="preserve">Mobile-responsive (≥ 60% of inbound traffic expected on mobile)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Geographic eligibility note prominently surfaced (Pennsylvania residents for the medical-handoff path; assessment available nationally, vir</w:t>
      </w:r>
      <w:r w:rsidDel="00000000" w:rsidR="00000000" w:rsidRPr="00000000">
        <w:rPr>
          <w:rtl w:val="0"/>
        </w:rPr>
        <w:t xml:space="preserve">tual specialist referrals nationally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Acceptance:</w:t>
      </w:r>
      <w:sdt>
        <w:sdtPr>
          <w:id w:val="22364682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 First-time visitor can identify price, what they get, and primary CTA without scrolling past the second viewport. Lighthouse mobile Performance ≥ 80. WCAG AA contrast.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B2. Account creation, consent &amp; payment (the funnel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Visitor creates an account, agrees to the wellness terms, and pays $149 — in under five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rtl w:val="0"/>
        </w:rPr>
        <w:t xml:space="preserve">Account &amp; consent: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Account creation: email + password, basic identity (legal name, DOB, ZIP,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state of residence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required because </w:t>
      </w:r>
      <w:r w:rsidDel="00000000" w:rsidR="00000000" w:rsidRPr="00000000">
        <w:rPr>
          <w:rtl w:val="0"/>
        </w:rPr>
        <w:t xml:space="preserve">of appropriate 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PC handoff)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Wellness consent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distinct from clinical consent (which happens later in the funnel); covers data use, BHN role boundary, "this is not a medical evaluation"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HIPAA Notice of Privacy Practices linked and acknowledged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Both consents timestamped and persisted with version numbers (consents are versioned artifacts)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rtl w:val="0"/>
        </w:rPr>
        <w:t xml:space="preserve">Payment — PCI-compliant, HSA/FSA-aware: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Stripe Checkout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(or Stripe Elements if richer in-page UX needed) for $149 cash-pay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Apple Pay / Google Pay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HSA/FSA cards explicitly supported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critical given PBH's HSA/FSA-eligibility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Card stored on file via Stripe Customer object (card will be reused for the medical-care intake step inside the wellness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Refund policy presented before payment (final policy window TBD by PBH; placeholder copy can ship at staging)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Receipt email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sent immediately on payment success — itemized in a format suitable for HSA/FSA reimbursement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Sales-tax handling per jurisdiction (Stripe Tax or equivalent)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Webhook reliability for </w:t>
      </w: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shd w:fill="f8f8fa" w:val="clear"/>
          <w:rtl w:val="0"/>
        </w:rPr>
        <w:t xml:space="preserve">payment_succeeded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shd w:fill="f8f8fa" w:val="clear"/>
          <w:rtl w:val="0"/>
        </w:rPr>
        <w:t xml:space="preserve">payment_failed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Tokenized card storage (never on PBH servers)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Audit log for every payment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PCI SAQ-A compliance documentation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delivered to PBH before go-live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rtl w:val="0"/>
        </w:rPr>
        <w:t xml:space="preserve">Handoff to the wellness app (the seam):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shd w:fill="f8f8fa" w:val="clear"/>
          <w:rtl w:val="0"/>
        </w:rPr>
        <w:t xml:space="preserve">payment_succeeded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: HubSpot lead is tagged </w:t>
      </w: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shd w:fill="f8f8fa" w:val="clear"/>
          <w:rtl w:val="0"/>
        </w:rPr>
        <w:t xml:space="preserve">paid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(no PHI passed); the user is redirected to the wellness app domain with a signed token; the wellness app instantiates the assessment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The wellness app, BHN dashboard, assessment runner, intake gate, and Athena handoff are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NOT</w:t>
      </w:r>
      <w:sdt>
        <w:sdtPr>
          <w:id w:val="-195997854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1"/>
              <w:szCs w:val="21"/>
              <w:rtl w:val="0"/>
            </w:rPr>
            <w:t xml:space="preserve"> in Visual Boston's scope — they are owned by PBH's engineering pod (vendor TBD). Visual Boston's deliverable ends at the Stripe success → wellness app redirect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Out of scope (explicit):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SSO (Google, Apple)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Insurance collection at this step (handled later inside the wellness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Multi-user / family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Acceptance: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Median time from signup_started to payment_succeeded &lt; 5 minutes for completing visitors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End-to-end test transaction succeeds in test mode AND live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HSA/FSA card flagged correctly on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Refund flow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Webhook reliability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PCI SAQ-A documentation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Receipt email arrives within 60 seconds of payment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B3. Confirmation page (post-payment, before redirect)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Receipt summary, what-happens-next, expected timeline, link to begin the assessment immediately or via emailed resume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Brief reassurance copy ("you're in the right place") — copy supplied by PBH (Nina)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Slice C — MVP Integrations (Weeks 4–6)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This is the plumbing that makes the funnel measurable and the launch real.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Analytics — 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Events fired for: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landing_viewed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cta_primary_clicked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cta_secondary_clicked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faq_opened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signup_started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signup_completed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wellness_consent_signed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payment_started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payment_succeeded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payment_failed</w:t>
            </w:r>
            <w:sdt>
              <w:sdtPr>
                <w:id w:val="-70289301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. Funnel report: homepage → payment_succeeded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Lead created on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signup_started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; lifecycle stage updated on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payment_succeeded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to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paid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 PHI passes to HubSpot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— only event flags. Visual Boston implements the integration; PBH provides the field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Transactional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Provider: Postmark, Resend, or SES (Visual Boston recommends; PBH provisions BAA if required). Templates needed: receipt, abandonment recovery (1h), abandonment recovery (24h, second touch), assessment resume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Wellness app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sdt>
              <w:sdtPr>
                <w:id w:val="8689740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Signed-token redirect handoff from website → wellness app on </w:t>
                </w:r>
              </w:sdtContent>
            </w:sdt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payment_succeeded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. Token format and signing key co-defined with engineering pod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BHN scheduling embed (placeholder)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The website must reserve and route to the eventual BHN scheduling page; the actual scheduling embed (HubSpot Meetings or Calendly) lives inside the wellness app behind login. Visual Boston confirms the redirect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Telehealth link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Out of scope for the website (telehealth links are sent from the wellness app). Visual Boston confirms the email-template ownership boundary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MVP Slice — Cross-cutting requirements (apply to all of A + B +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Strict adherence to existing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7"/>
                <w:szCs w:val="17"/>
                <w:rtl w:val="0"/>
              </w:rPr>
              <w:t xml:space="preserve">brand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palette. No off-brand gradients. Typography system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WCAG 2.1 AA on all new pages and components. Keyboard navigation. Color contrast. Alt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90+ Lighthouse Performance on mobile for the landing page. Lazy-load below-fold imagery.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SEO (baseline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hyperlink r:id="rId1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17"/>
                  <w:szCs w:val="17"/>
                  <w:u w:val="single"/>
                  <w:rtl w:val="0"/>
                </w:rPr>
                <w:t xml:space="preserve">Schema.org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Organization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and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MedicalWebPage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; XML sitemap; meta titles/descriptions on all live pages. Deeper SEO (article schema, FAQPage schema, internal linking strategy) deferred to fast-follow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Continued use of TinaCMS. New marketing pages editable by non-developers.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Privacy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PCI SAQ-A documentation. HIPAA-aware data handling at the wellness-app seam. Privacy policy and ToS rewritten (P5). Cookie consent if not already present.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Continue on Vercel. Staging environment for client review before launch.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Mobile-first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All MVP deliverables designed and tested mobile-first.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Content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Consumer-facing copy for the MVP slice is owned by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Nina Zhang (PBH)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, not Visual Boston. Nina will deliver landing-page copy, FAQ, consent text drafts (for counsel review), form labels, error states, refund policy, and receipt email by the windows in §4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MVP Slice — Acceptance for go-live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By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July 31, 2026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All Slice A defects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End-to-end test of $149 payment succeeds in live mode (with refund tested)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HSA/FSA card flagged correctly on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HubSpot receives correct events with no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GA4 funnel report renders on a 7-day rolling 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WCAG 2.1 AA audit clean (or any open issues triaged with PBH)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PCI SAQ-A compliance documentation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Two-day hypercare period (Aug 3–4) covered by Visual Boston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3. Fast-follow — Editorial &amp; trust (Aug 10 – Sep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These are the assets that establish authority and reduce decision-point friction. Built only after we are confident the MVP funnel is delivering a good and proper experience.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Testimonials with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Dedicated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/testimonials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page; 6–10 patient stories (mix of video + written). Reusable testimonial card component. Featured testimonials placed contextually (homepage, About, intake confirmation). Care-partner testimonial track ("I did this for my mom"). HIPAA-aware (written releases). Production scoping: in-house or partner videographer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Interactive Brain Health Journey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sdt>
              <w:sdtPr>
                <w:id w:val="136898439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Horizontal/vertical timeline across 5 stages (Concern → Assess → Plan → Act → Sustain). Replaces the current "How It Works" section. Standalone </w:t>
                </w:r>
              </w:sdtContent>
            </w:sdt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/how-it-works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page for direct linking. Mobile-first. WCAG 2.1 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Cognitive Self-Screener / Risk Assessment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sdt>
              <w:sdtPr>
                <w:id w:val="128593813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8–12 question, ~3-minute self-assessment of modifiable risk factors. Built jointly with PBH medical team. Personalized result page → CTA to book the consultation. Optional email capture. HIPAA-aware.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Clinically reviewed and approved by PBH medical team before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Blog / Editorial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Index with category filters; article template; author profile pages; </w:t>
            </w:r>
            <w:hyperlink r:id="rId1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17"/>
                  <w:szCs w:val="17"/>
                  <w:u w:val="single"/>
                  <w:rtl w:val="0"/>
                </w:rPr>
                <w:t xml:space="preserve">Schema.org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Article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MedicalWebPage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; RSS + sitemap. Launch with 8–12 cornerstone articles (content production scoped separately). Replaces the placeholder content from Slice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Resource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/resources</w:t>
            </w:r>
            <w:sdt>
              <w:sdtPr>
                <w:id w:val="-10340031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 index — Guides (PDF), Checklists, Worksheets, Webinars, Glossary. Gated downloadables → email capture → HubSpot list segmentation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Navigation &amp; IA Overhaul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New primary nav: About / How It Works / Resources / For Families / For Providers / Blog / Book Consultation. Mega-menu for Resources. Sticky persistent CTA. Footer rebuild. Breadcrumbs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4. Conversion optimization — Marketing levers (Sep 28 – Nov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Built only after we have a proven experience to drive traffic to.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For Families / Care Partners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Dedicated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/for-families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track. Care-partner-specific testimonials, FAQ, soft-conversion path ("not sure if Mom is ready — get our free family guide")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For Referring Providers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/for-providers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page: clinical methodology one-pager (downloadable), referral form, sample patient report (de-identified), Dr. Bates' CV. Unlocks B2B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Pricing / Membership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Standalone </w:t>
            </w:r>
            <w:r w:rsidDel="00000000" w:rsidR="00000000" w:rsidRPr="00000000">
              <w:rPr>
                <w:rFonts w:ascii="menlo" w:cs="menlo" w:eastAsia="menlo" w:hAnsi="menlo"/>
                <w:color w:val="000000"/>
                <w:sz w:val="18"/>
                <w:szCs w:val="18"/>
                <w:shd w:fill="f8f8fa" w:val="clear"/>
                <w:rtl w:val="0"/>
              </w:rPr>
              <w:t xml:space="preserve">/pricing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 page improves SEO and reduces friction. What's included, HSA/FSA language, future membership tiers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Homepage explainer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60–90 second founder-led video featuring Dr. Bates. Visual Boston scopes production or coordinates partner videographer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Hero loop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Two additional clips (parents with young child; multigenerational family). Footage style consistent with existing loop. Custom shoot strongly preferred over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Press / Social Proof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Horizontal logo strip beneath hero — "As covered by," credentialing institutions, board affiliations, HSA/FSA badge. Populated as press develops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Newsletter &amp; Email Nurture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Sitewide newsletter signup (footer, blog sidebar, exit-intent on key pages). HubSpot integration. Welcome sequence + 3 evergreen nurture sequences (general prospect, care partner, post-screener)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5. Future state (Phase 3 — for awareness only, NOT in this engagement)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Architect Slices A–C to accommodate these without rework. Build only when business case warrants.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Patient Portal / Member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Live chat / scheduling widget (Calendly or similar embedded)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Provider Directory (when network grows)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Outcome Dashboard (anonymized aggregate outcomes)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Spanish-language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Podcast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Annual research report / white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6. Content production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Content for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MVP slice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is owned by PBH (Nina Zhang) on the build-sprint priority order in the DTC MVP Epic + PRD, Appendix A. Visual Boston is not asked to write copy for the MVP slice.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Content for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fast-follow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optimization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slices may be partly owned by Visual Boston if you offer content services; please propose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8–12 cornerstone blog articles (1,200–2,000 words each), clinically 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Founder explainer video (1) + patient testimonials (3–5) + care-partner testimonial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Resources: 3 PDF guides, 2 checklists, 1 glossary, 1 recorded webinar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Photography: real team headshots (replace stock on About page); one branded photoshoot for hero/section imagery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Screener content: question bank, scoring logic, result-page copy (jointly developed with PBH medical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Email sequences: welcome + 3 nurture flows (copywriting)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7. Deliverables Visual Boston should include in the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Please structure the proposal with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Discovery &amp; strategy phase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stakeholder interviews, IA workshop, content audit handoff, analytics baseline. Must be compressed to 1–2 weeks given the August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Design phase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moodboard, component library extension, MVP-slice page designs in Figma (desktop +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Build phase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sprint plan, staging environment, QA plan, accessibility audit, PCI SAQ-A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Launch phase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content migration, redirects, SEO checks, analytics validation, monitoring,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2-day hypercare for soft launch (Aug 3–4)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Post-launch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30-day support window, training session for editorial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Pricing — modular by slice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so PBH can sequence investment: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MVP Slice (A + B + C) — single fixed-fee or T&amp;M with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Fast-follow — separate 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Conversion optimization — separate 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Optional content services — separate line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Timeline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committed dates for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Slice A done June 12, MVP go-live July 31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as gating commitments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Team &amp; roles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who from Visual Boston works on the project; estimated PBH-side time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Assumptions, exclusions, and dependencies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— explicitly call 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Wellness app and post-payment flow are out of scope (engineering pod owns)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Consent text and refund policy require counsel review on PBH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HIPAA-eligible product use of HubSpot is bounded by the no-PHI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8. Key questions for Visual Boston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Can you commit to MVP go-live July 31 as a fixed date, given the soft-launch dependency?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Do you have HIPAA-experienced project leads, given consent capture and the wellness-app handoff?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PCI SAQ-A — have you delivered this on prior engagements? What does your documentation look like?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Stripe HSA/FSA card handling — have you implemented this before? Any gotchas with receipt formatting for HSA/FSA reimbursement?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Visual Boston's recommendation on TinaCMS at this scale of content vs. migrating to Sanity/Contentful/Payload — and whether that decision can be deferred past the MVP slice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Can the Journey Map component (fast-follow) be built reusable for future provider/family pathway pages?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Can you deliver video testimonial production in-house for fast-follow, or do you partner?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What does ongoing monthly support look like post-launch?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9. Summary —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MVP slice (June 1 – July 31, ~4–6 weeks of build):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br w:type="textWrapping"/>
        <w:t xml:space="preserve">V1 cleanup (P1–P8) • Landing page • Account creation + wellness consent + HIPAA NPP + state-of-residence capture • $149 Stripe payment with HSA/FSA support • Receipt email • Confirmation page + redirect handoff to wellness app • HubSpot integration (no PHI) • GA4 funnel analytics • Transactional email setup • Staging review + accessibility + PCI audit + UAT • 2-day soft-launch hypercare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Fast-follow (Aug 10 – Sep 25):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br w:type="textWrapping"/>
        <w:t xml:space="preserve">Testimonials with video • Journey Map • Cognitive Self-Screener • Blog hub • Resource Library • Nav &amp; IA overhaul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Conversion optimization (Sep 28 – Nov 6):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br w:type="textWrapping"/>
        <w:t xml:space="preserve">Families pathway • Providers pathway • Pricing page • Founder explainer video • Hero loop additions • Press strip • Newsletter &amp; nurture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Phase 3 / future state (architect for, not in scope):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br w:type="textWrapping"/>
        <w:t xml:space="preserve">Member portal • Live chat • Provider directory • Outcome dashboard • Spanish site • Podcast • Annual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menlo"/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290638" cy="545792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0638" cy="5457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schema.org" TargetMode="External"/><Relationship Id="rId10" Type="http://schemas.openxmlformats.org/officeDocument/2006/relationships/hyperlink" Target="http://schema.org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document/d/1q6Aw-5sm2gKsqVAKSyfXXslNrU0etXsOKn20oZkTff4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rimarybrainhealth.com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HelveticaNeue-regular.ttf"/><Relationship Id="rId9" Type="http://schemas.openxmlformats.org/officeDocument/2006/relationships/font" Target="fonts/NotoSansSymbols-bold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Relationship Id="rId8" Type="http://schemas.openxmlformats.org/officeDocument/2006/relationships/font" Target="fonts/NotoSansSymbols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ML8pVs4blQTDCL4Pr+ZtgP9q4w==">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