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rFonts w:eastAsia="Times New Roman" w:cs="Times New Roman" w:ascii="Times" w:hAnsi="Times"/>
          <w:sz w:val="20"/>
          <w:szCs w:val="20"/>
          <w:lang w:val="en-US"/>
        </w:rPr>
      </w:pPr>
      <w:r>
        <w:rPr>
          <w:rFonts w:eastAsia="Times New Roman" w:cs="Times New Roman" w:ascii="Times" w:hAnsi="Times"/>
          <w:sz w:val="20"/>
          <w:szCs w:val="20"/>
          <w:lang w:val="en-US"/>
        </w:rPr>
        <w:t>Current state of research - approx. 5 relevant publication. one page max</w:t>
      </w:r>
    </w:p>
    <w:p>
      <w:pPr>
        <w:pStyle w:val="Normal"/>
        <w:rPr>
          <w:rFonts w:eastAsia="Times New Roman" w:cs="Times New Roman" w:ascii="Times" w:hAnsi="Times"/>
          <w:sz w:val="20"/>
          <w:szCs w:val="20"/>
          <w:lang w:val="en-US"/>
        </w:rPr>
      </w:pPr>
      <w:r>
        <w:rPr>
          <w:rFonts w:eastAsia="Times New Roman" w:cs="Times New Roman" w:ascii="Times" w:hAnsi="Times"/>
          <w:sz w:val="20"/>
          <w:szCs w:val="20"/>
          <w:lang w:val="en-US"/>
        </w:rPr>
      </w:r>
    </w:p>
    <w:p>
      <w:pPr>
        <w:pStyle w:val="Normal"/>
        <w:rPr>
          <w:rFonts w:eastAsia="Times New Roman" w:cs="Times New Roman" w:ascii="Times" w:hAnsi="Times"/>
          <w:sz w:val="20"/>
          <w:szCs w:val="20"/>
          <w:lang w:val="en-US"/>
        </w:rPr>
      </w:pPr>
      <w:r>
        <w:rPr>
          <w:rFonts w:eastAsia="Times New Roman" w:cs="Times New Roman" w:ascii="Times" w:hAnsi="Times"/>
          <w:sz w:val="20"/>
          <w:szCs w:val="20"/>
          <w:lang w:val="en-US"/>
        </w:rPr>
        <w:t>Description of questions - originality and significance to the field (approx. 2 pages)</w:t>
      </w:r>
    </w:p>
    <w:p>
      <w:pPr>
        <w:pStyle w:val="Normal"/>
        <w:rPr>
          <w:rFonts w:eastAsia="Times New Roman" w:cs="Times New Roman" w:ascii="Times" w:hAnsi="Times"/>
          <w:sz w:val="20"/>
          <w:szCs w:val="20"/>
          <w:lang w:val="en-US"/>
        </w:rPr>
      </w:pPr>
      <w:r>
        <w:rPr>
          <w:rFonts w:eastAsia="Times New Roman" w:cs="Times New Roman" w:ascii="Times" w:hAnsi="Times"/>
          <w:sz w:val="20"/>
          <w:szCs w:val="20"/>
          <w:lang w:val="en-US"/>
        </w:rPr>
      </w:r>
    </w:p>
    <w:p>
      <w:pPr>
        <w:pStyle w:val="Normal"/>
        <w:rPr>
          <w:rFonts w:eastAsia="Times New Roman" w:cs="Times New Roman" w:ascii="Times" w:hAnsi="Times"/>
          <w:sz w:val="20"/>
          <w:szCs w:val="20"/>
          <w:lang w:val="en-US"/>
        </w:rPr>
      </w:pPr>
      <w:r>
        <w:rPr>
          <w:rFonts w:eastAsia="Times New Roman" w:cs="Times New Roman" w:ascii="Times" w:hAnsi="Times"/>
          <w:sz w:val="20"/>
          <w:szCs w:val="20"/>
          <w:lang w:val="en-US"/>
        </w:rPr>
        <w:t>Methods (clearly described) - two pages</w:t>
      </w:r>
    </w:p>
    <w:p>
      <w:pPr>
        <w:pStyle w:val="Normal"/>
        <w:rPr>
          <w:rFonts w:eastAsia="Times New Roman" w:cs="Times New Roman" w:ascii="Times" w:hAnsi="Times"/>
          <w:sz w:val="20"/>
          <w:szCs w:val="20"/>
          <w:lang w:val="en-US"/>
        </w:rPr>
      </w:pPr>
      <w:r>
        <w:rPr>
          <w:rFonts w:eastAsia="Times New Roman" w:cs="Times New Roman" w:ascii="Times" w:hAnsi="Times"/>
          <w:sz w:val="20"/>
          <w:szCs w:val="20"/>
          <w:lang w:val="en-US"/>
        </w:rPr>
      </w:r>
    </w:p>
    <w:p>
      <w:pPr>
        <w:pStyle w:val="Normal"/>
        <w:rPr>
          <w:rFonts w:eastAsia="Times New Roman" w:cs="Times New Roman" w:ascii="Times" w:hAnsi="Times"/>
          <w:sz w:val="20"/>
          <w:szCs w:val="20"/>
          <w:lang w:val="en-US"/>
        </w:rPr>
      </w:pPr>
      <w:r>
        <w:rPr>
          <w:rFonts w:eastAsia="Times New Roman" w:cs="Times New Roman" w:ascii="Times" w:hAnsi="Times"/>
          <w:sz w:val="20"/>
          <w:szCs w:val="20"/>
          <w:lang w:val="en-US"/>
        </w:rPr>
        <w:t>Not required:</w:t>
      </w:r>
    </w:p>
    <w:p>
      <w:pPr>
        <w:pStyle w:val="Normal"/>
        <w:rPr>
          <w:rFonts w:eastAsia="Times New Roman" w:cs="Times New Roman" w:ascii="Times" w:hAnsi="Times"/>
          <w:sz w:val="20"/>
          <w:szCs w:val="20"/>
          <w:lang w:val="en-US"/>
        </w:rPr>
      </w:pPr>
      <w:r>
        <w:rPr>
          <w:rFonts w:eastAsia="Times New Roman" w:cs="Times New Roman" w:ascii="Times" w:hAnsi="Times"/>
          <w:sz w:val="20"/>
          <w:szCs w:val="20"/>
          <w:lang w:val="en-US"/>
        </w:rPr>
        <w:tab/>
        <w:t>comprehensive bibliography</w:t>
      </w:r>
    </w:p>
    <w:p>
      <w:pPr>
        <w:pStyle w:val="Normal"/>
        <w:rPr>
          <w:rFonts w:eastAsia="Times New Roman" w:cs="Times New Roman" w:ascii="Times" w:hAnsi="Times"/>
          <w:sz w:val="20"/>
          <w:szCs w:val="20"/>
          <w:lang w:val="en-US"/>
        </w:rPr>
      </w:pPr>
      <w:r>
        <w:rPr>
          <w:rFonts w:eastAsia="Times New Roman" w:cs="Times New Roman" w:ascii="Times" w:hAnsi="Times"/>
          <w:sz w:val="20"/>
          <w:szCs w:val="20"/>
          <w:lang w:val="en-US"/>
        </w:rPr>
        <w:tab/>
        <w:t>time plan</w:t>
      </w:r>
    </w:p>
    <w:p>
      <w:pPr>
        <w:pStyle w:val="Normal"/>
        <w:rPr/>
      </w:pPr>
      <w:r>
        <w:rPr/>
      </w:r>
    </w:p>
    <w:p>
      <w:pPr>
        <w:pStyle w:val="Normal"/>
        <w:rPr/>
      </w:pPr>
      <w:r>
        <w:rPr/>
      </w:r>
    </w:p>
    <w:p>
      <w:pPr>
        <w:pStyle w:val="Normal"/>
        <w:rPr/>
      </w:pPr>
      <w:r>
        <w:rPr/>
        <w:t>Research outline (five pages max)</w:t>
      </w:r>
    </w:p>
    <w:p>
      <w:pPr>
        <w:pStyle w:val="ListParagraph"/>
        <w:numPr>
          <w:ilvl w:val="0"/>
          <w:numId w:val="1"/>
        </w:numPr>
        <w:rPr/>
      </w:pPr>
      <w:r>
        <w:rPr>
          <w:b/>
        </w:rPr>
        <w:t>The current state of research</w:t>
      </w:r>
      <w:r>
        <w:rPr/>
        <w:t xml:space="preserve"> should first be briefly described and underpinned by approximately five relevant publications from the research area. (one page max)</w:t>
      </w:r>
    </w:p>
    <w:p>
      <w:pPr>
        <w:pStyle w:val="ListParagraph"/>
        <w:numPr>
          <w:ilvl w:val="0"/>
          <w:numId w:val="1"/>
        </w:numPr>
        <w:rPr/>
      </w:pPr>
      <w:r>
        <w:rPr/>
        <w:t xml:space="preserve">The outline should focus on a clear </w:t>
      </w:r>
      <w:r>
        <w:rPr>
          <w:b/>
        </w:rPr>
        <w:t>description of the questions</w:t>
      </w:r>
      <w:r>
        <w:rPr/>
        <w:t xml:space="preserve"> you intend to address in your research, their </w:t>
      </w:r>
      <w:r>
        <w:rPr>
          <w:b/>
        </w:rPr>
        <w:t>originality and significance</w:t>
      </w:r>
      <w:r>
        <w:rPr/>
        <w:t xml:space="preserve"> for the advancement of the research field. (approx. two pages)</w:t>
      </w:r>
    </w:p>
    <w:p>
      <w:pPr>
        <w:pStyle w:val="ListParagraph"/>
        <w:numPr>
          <w:ilvl w:val="0"/>
          <w:numId w:val="1"/>
        </w:numPr>
        <w:rPr/>
      </w:pPr>
      <w:r>
        <w:rPr/>
        <w:t xml:space="preserve">Furthermore, the academic </w:t>
      </w:r>
      <w:r>
        <w:rPr>
          <w:b/>
        </w:rPr>
        <w:t>methods</w:t>
      </w:r>
      <w:r>
        <w:rPr/>
        <w:t xml:space="preserve"> to be used to achieve these goals should be clearly described. (approx. two pages)</w:t>
      </w:r>
    </w:p>
    <w:p>
      <w:pPr>
        <w:pStyle w:val="ListParagraph"/>
        <w:numPr>
          <w:ilvl w:val="0"/>
          <w:numId w:val="1"/>
        </w:numPr>
        <w:rPr/>
      </w:pPr>
      <w:r>
        <w:rPr/>
        <w:t>A comprehensive bibliography and a detailed time plan are not required.</w:t>
      </w:r>
    </w:p>
    <w:p>
      <w:pPr>
        <w:pStyle w:val="ListParagraph"/>
        <w:numPr>
          <w:ilvl w:val="0"/>
          <w:numId w:val="1"/>
        </w:numPr>
        <w:rPr>
          <w:color w:val="BFBFBF"/>
        </w:rPr>
      </w:pPr>
      <w:r>
        <w:rPr>
          <w:color w:val="BFBFBF"/>
        </w:rPr>
        <w:t>The research outline should comprise approximately five pages in total. Should you significantly exceed this length, you may be asked to cut it down to approximately five pages.</w:t>
      </w:r>
    </w:p>
    <w:p>
      <w:pPr>
        <w:pStyle w:val="ListParagraph"/>
        <w:numPr>
          <w:ilvl w:val="0"/>
          <w:numId w:val="1"/>
        </w:numPr>
        <w:rPr>
          <w:color w:val="BFBFBF"/>
        </w:rPr>
      </w:pPr>
      <w:r>
        <w:rPr>
          <w:color w:val="BFBFBF"/>
        </w:rPr>
        <w:t>For the purposes of evaluation it must be clearly demonstrated that you yourself have drawn up the main contents independently and agreed them beforehand with your host. Any contents contributed by the host institute must be attributed accordingly.</w:t>
      </w:r>
    </w:p>
    <w:p>
      <w:pPr>
        <w:pStyle w:val="Normal"/>
        <w:rPr/>
      </w:pPr>
      <w:r>
        <w:rPr/>
      </w:r>
    </w:p>
    <w:p>
      <w:pPr>
        <w:pStyle w:val="Normal"/>
        <w:rPr/>
      </w:pPr>
      <w:r>
        <w:rPr/>
        <w:t>From Christopher Harris’ blog:</w:t>
      </w:r>
    </w:p>
    <w:p>
      <w:pPr>
        <w:pStyle w:val="Normal"/>
        <w:rPr>
          <w:rFonts w:eastAsia="Times New Roman" w:cs="Arial" w:ascii="Arial" w:hAnsi="Arial"/>
          <w:color w:val="1F497D"/>
          <w:sz w:val="22"/>
          <w:szCs w:val="22"/>
          <w:shd w:fill="FFFFFF" w:val="clear"/>
          <w:lang w:val="en-US"/>
        </w:rPr>
      </w:pPr>
      <w:r>
        <w:rPr>
          <w:rFonts w:eastAsia="Times New Roman" w:cs="Arial" w:ascii="Arial" w:hAnsi="Arial"/>
          <w:color w:val="1F497D"/>
          <w:sz w:val="22"/>
          <w:szCs w:val="22"/>
          <w:shd w:fill="FFFFFF" w:val="clear"/>
          <w:lang w:val="en-US"/>
        </w:rPr>
        <w:t>Overall, fish and mammals have similar brain topologies. The fish forebrain pushes forward during development rather than wrapping itself around the lower brain regions as it does in mammals ('eversion' rather than 'evagination'). The fish pallium is nevertheless homologous to the mammalian cortex, with distinct sensory and motor regions, although in fish a disproportionate amount of visual processing takes place in the tectum, a homologue of the mammalian superior colliculus (</w:t>
      </w:r>
      <w:hyperlink r:id="rId2">
        <w:r>
          <w:rPr>
            <w:rStyle w:val="InternetLink"/>
            <w:rFonts w:eastAsia="Times New Roman" w:cs="Arial" w:ascii="Arial" w:hAnsi="Arial"/>
            <w:color w:val="1F497D"/>
            <w:sz w:val="22"/>
            <w:szCs w:val="22"/>
            <w:u w:val="single"/>
            <w:shd w:fill="FFFFFF" w:val="clear"/>
            <w:lang w:val="en-US"/>
          </w:rPr>
          <w:t>Salas et al., 2003</w:t>
        </w:r>
      </w:hyperlink>
      <w:r>
        <w:rPr>
          <w:rFonts w:eastAsia="Times New Roman" w:cs="Arial" w:ascii="Arial" w:hAnsi="Arial"/>
          <w:color w:val="1F497D"/>
          <w:sz w:val="22"/>
          <w:szCs w:val="22"/>
          <w:shd w:fill="FFFFFF" w:val="clear"/>
          <w:lang w:val="en-US"/>
        </w:rPr>
        <w:t>). Likewise, the subpallium of fish corresponds to the mammalian basal nuclei, including the striatum, the key recipient of dopaminergic reward in the mammalian brain. So far so good; most forebrain structures involved in reward processing appear to be conserved among vertebrates, and cognitive abilities previously thought of as exclusive to 'higher' animals (i.e. birds and mammals) are now being studied also in fish (</w:t>
      </w:r>
      <w:hyperlink r:id="rId3">
        <w:r>
          <w:rPr>
            <w:rStyle w:val="InternetLink"/>
            <w:rFonts w:eastAsia="Times New Roman" w:cs="Arial" w:ascii="Arial" w:hAnsi="Arial"/>
            <w:color w:val="1F497D"/>
            <w:sz w:val="22"/>
            <w:szCs w:val="22"/>
            <w:u w:val="single"/>
            <w:shd w:fill="FFFFFF" w:val="clear"/>
            <w:lang w:val="en-US"/>
          </w:rPr>
          <w:t>Salas et al., 2003</w:t>
        </w:r>
      </w:hyperlink>
      <w:r>
        <w:rPr>
          <w:rFonts w:eastAsia="Times New Roman" w:cs="Arial" w:ascii="Arial" w:hAnsi="Arial"/>
          <w:color w:val="1F497D"/>
          <w:sz w:val="22"/>
          <w:szCs w:val="22"/>
          <w:shd w:fill="FFFFFF" w:val="clear"/>
          <w:lang w:val="en-US"/>
        </w:rPr>
        <w:t>). </w:t>
      </w:r>
    </w:p>
    <w:p>
      <w:pPr>
        <w:pStyle w:val="Normal"/>
        <w:rPr>
          <w:color w:val="1F497D"/>
        </w:rPr>
      </w:pPr>
      <w:r>
        <w:rPr>
          <w:color w:val="1F497D"/>
        </w:rPr>
      </w:r>
    </w:p>
    <w:p>
      <w:pPr>
        <w:pStyle w:val="Normal"/>
        <w:rPr>
          <w:rFonts w:eastAsia="Times New Roman" w:cs="Arial" w:ascii="Arial" w:hAnsi="Arial"/>
          <w:color w:val="1F497D"/>
          <w:sz w:val="22"/>
          <w:szCs w:val="22"/>
          <w:shd w:fill="FFFFFF" w:val="clear"/>
          <w:lang w:val="en-US"/>
        </w:rPr>
      </w:pPr>
      <w:r>
        <w:rPr>
          <w:rFonts w:eastAsia="Times New Roman" w:cs="Arial" w:ascii="Arial" w:hAnsi="Arial"/>
          <w:color w:val="1F497D"/>
          <w:sz w:val="22"/>
          <w:szCs w:val="22"/>
          <w:shd w:fill="FFFFFF" w:val="clear"/>
          <w:lang w:val="en-US"/>
        </w:rPr>
        <w:t>However, the fish dopamine supply is all over the place, quite literally. Dopamine neurons are found throughout the zebrafish brain, </w:t>
      </w:r>
      <w:r>
        <w:rPr>
          <w:rFonts w:eastAsia="Times New Roman" w:cs="Arial" w:ascii="Arial" w:hAnsi="Arial"/>
          <w:i/>
          <w:iCs/>
          <w:color w:val="1F497D"/>
          <w:sz w:val="22"/>
          <w:szCs w:val="22"/>
          <w:shd w:fill="FFFFFF" w:val="clear"/>
          <w:lang w:val="en-US"/>
        </w:rPr>
        <w:t>except for</w:t>
      </w:r>
      <w:r>
        <w:rPr>
          <w:rFonts w:eastAsia="Times New Roman" w:cs="Arial" w:ascii="Arial" w:hAnsi="Arial"/>
          <w:color w:val="1F497D"/>
          <w:sz w:val="22"/>
          <w:szCs w:val="22"/>
          <w:shd w:fill="FFFFFF" w:val="clear"/>
          <w:lang w:val="en-US"/>
        </w:rPr>
        <w:t> the midbrain, where almost all mammalian dopamine neurons are located. A few dopaminergic clusters in the hypothalamic region project to the subpallium/striatum and were previously thought to be homologous to the mammalian mesolimbic dopamine system, but more recent research has debunked this view (</w:t>
      </w:r>
      <w:hyperlink r:id="rId4">
        <w:r>
          <w:rPr>
            <w:rStyle w:val="InternetLink"/>
            <w:rFonts w:eastAsia="Times New Roman" w:cs="Arial" w:ascii="Arial" w:hAnsi="Arial"/>
            <w:color w:val="1F497D"/>
            <w:sz w:val="22"/>
            <w:szCs w:val="22"/>
            <w:shd w:fill="FFFFFF" w:val="clear"/>
            <w:lang w:val="en-US"/>
          </w:rPr>
          <w:t>Schweitzer et al., 2011</w:t>
        </w:r>
      </w:hyperlink>
      <w:r>
        <w:rPr>
          <w:rFonts w:eastAsia="Times New Roman" w:cs="Arial" w:ascii="Arial" w:hAnsi="Arial"/>
          <w:color w:val="1F497D"/>
          <w:sz w:val="22"/>
          <w:szCs w:val="22"/>
          <w:shd w:fill="FFFFFF" w:val="clear"/>
          <w:lang w:val="en-US"/>
        </w:rPr>
        <w:t>; </w:t>
      </w:r>
      <w:hyperlink r:id="rId5">
        <w:r>
          <w:rPr>
            <w:rStyle w:val="InternetLink"/>
            <w:rFonts w:eastAsia="Times New Roman" w:cs="Arial" w:ascii="Arial" w:hAnsi="Arial"/>
            <w:color w:val="1F497D"/>
            <w:sz w:val="22"/>
            <w:szCs w:val="22"/>
            <w:shd w:fill="FFFFFF" w:val="clear"/>
            <w:lang w:val="en-US"/>
          </w:rPr>
          <w:t>Tay et al., 2011</w:t>
        </w:r>
      </w:hyperlink>
      <w:r>
        <w:rPr>
          <w:rFonts w:eastAsia="Times New Roman" w:cs="Arial" w:ascii="Arial" w:hAnsi="Arial"/>
          <w:color w:val="1F497D"/>
          <w:sz w:val="22"/>
          <w:szCs w:val="22"/>
          <w:shd w:fill="FFFFFF" w:val="clear"/>
          <w:lang w:val="en-US"/>
        </w:rPr>
        <w:t>). There simply is no mesencephalic dopamine system in the zebrafish brain. Nevertheless, fish </w:t>
      </w:r>
      <w:r>
        <w:rPr>
          <w:rFonts w:eastAsia="Times New Roman" w:cs="Arial" w:ascii="Arial" w:hAnsi="Arial"/>
          <w:i/>
          <w:iCs/>
          <w:color w:val="1F497D"/>
          <w:sz w:val="22"/>
          <w:szCs w:val="22"/>
          <w:shd w:fill="FFFFFF" w:val="clear"/>
          <w:lang w:val="en-US"/>
        </w:rPr>
        <w:t>are</w:t>
      </w:r>
      <w:r>
        <w:rPr>
          <w:rFonts w:eastAsia="Times New Roman" w:cs="Arial" w:ascii="Arial" w:hAnsi="Arial"/>
          <w:color w:val="1F497D"/>
          <w:sz w:val="22"/>
          <w:szCs w:val="22"/>
          <w:shd w:fill="FFFFFF" w:val="clear"/>
          <w:lang w:val="en-US"/>
        </w:rPr>
        <w:t> capable of both classical and operant reward conditionning (</w:t>
      </w:r>
      <w:hyperlink r:id="rId6">
        <w:r>
          <w:rPr>
            <w:rStyle w:val="InternetLink"/>
            <w:rFonts w:eastAsia="Times New Roman" w:cs="Arial" w:ascii="Arial" w:hAnsi="Arial"/>
            <w:color w:val="1F497D"/>
            <w:sz w:val="22"/>
            <w:szCs w:val="22"/>
            <w:shd w:fill="FFFFFF" w:val="clear"/>
            <w:lang w:val="en-US"/>
          </w:rPr>
          <w:t>Valente et al., 2011</w:t>
        </w:r>
      </w:hyperlink>
      <w:r>
        <w:rPr>
          <w:rFonts w:eastAsia="Times New Roman" w:cs="Arial" w:ascii="Arial" w:hAnsi="Arial"/>
          <w:color w:val="1F497D"/>
          <w:sz w:val="22"/>
          <w:szCs w:val="22"/>
          <w:shd w:fill="FFFFFF" w:val="clear"/>
          <w:lang w:val="en-US"/>
        </w:rPr>
        <w:t>), including dopamine-dependent place preference, and even intracranial self-stimulation (</w:t>
      </w:r>
      <w:hyperlink r:id="rId7">
        <w:r>
          <w:rPr>
            <w:rStyle w:val="InternetLink"/>
            <w:rFonts w:eastAsia="Times New Roman" w:cs="Arial" w:ascii="Arial" w:hAnsi="Arial"/>
            <w:color w:val="1F497D"/>
            <w:sz w:val="22"/>
            <w:szCs w:val="22"/>
            <w:shd w:fill="FFFFFF" w:val="clear"/>
            <w:lang w:val="en-US"/>
          </w:rPr>
          <w:t>Boyd &amp; Gardner, 1962</w:t>
        </w:r>
      </w:hyperlink>
      <w:r>
        <w:rPr>
          <w:rFonts w:eastAsia="Times New Roman" w:cs="Arial" w:ascii="Arial" w:hAnsi="Arial"/>
          <w:color w:val="1F497D"/>
          <w:sz w:val="22"/>
          <w:szCs w:val="22"/>
          <w:shd w:fill="FFFFFF" w:val="clear"/>
          <w:lang w:val="en-US"/>
        </w:rPr>
        <w:t>), so what gives? </w:t>
      </w:r>
    </w:p>
    <w:p>
      <w:pPr>
        <w:pStyle w:val="Normal"/>
        <w:rPr>
          <w:rFonts w:eastAsia="Times New Roman" w:cs="Arial" w:ascii="Arial" w:hAnsi="Arial"/>
          <w:color w:val="1F497D"/>
          <w:sz w:val="22"/>
          <w:szCs w:val="22"/>
          <w:lang w:val="en-US"/>
        </w:rPr>
      </w:pPr>
      <w:r>
        <w:rPr>
          <w:rFonts w:eastAsia="Times New Roman" w:cs="Arial" w:ascii="Arial" w:hAnsi="Arial"/>
          <w:color w:val="1F497D"/>
          <w:sz w:val="22"/>
          <w:szCs w:val="22"/>
          <w:shd w:fill="FFFFFF" w:val="clear"/>
          <w:lang w:val="en-US"/>
        </w:rPr>
        <w:t>As far as I can tell, dopaminergic reward mechanisms remain remarkably poorly understood in the zebrafish, despite intense research in recent years on the neurobiology and genetics of this model system. Most of the dopamine in the zebrafish subpallium/striatum appears to originate in local dopaminergic projections from neurons whose cell bodies are distributed throughout the subpallium/striatum (</w:t>
      </w:r>
      <w:hyperlink r:id="rId8">
        <w:r>
          <w:rPr>
            <w:rStyle w:val="InternetLink"/>
            <w:rFonts w:eastAsia="Times New Roman" w:cs="Arial" w:ascii="Arial" w:hAnsi="Arial"/>
            <w:color w:val="1F497D"/>
            <w:sz w:val="22"/>
            <w:szCs w:val="22"/>
            <w:u w:val="single"/>
            <w:shd w:fill="FFFFFF" w:val="clear"/>
            <w:lang w:val="en-US"/>
          </w:rPr>
          <w:t>Tay et al., 2011</w:t>
        </w:r>
      </w:hyperlink>
      <w:r>
        <w:rPr>
          <w:rFonts w:eastAsia="Times New Roman" w:cs="Arial" w:ascii="Arial" w:hAnsi="Arial"/>
          <w:color w:val="1F497D"/>
          <w:sz w:val="22"/>
          <w:szCs w:val="22"/>
          <w:shd w:fill="FFFFFF" w:val="clear"/>
          <w:lang w:val="en-US"/>
        </w:rPr>
        <w:t>). These neurons look like plausible mediators of reward, but their input, physiology and function remains unknown(!). The function of the ascending dopaminergic fibres that project to the subpallium/striatum is also not known. Moreover, pretectal dopamine neurons arborize extensively in the tectum, suggesting a possible role in visually guided reward-seeking behaviour, such as hunting. </w:t>
      </w:r>
      <w:r>
        <w:rPr>
          <w:rFonts w:eastAsia="Times New Roman" w:cs="Arial" w:ascii="Arial" w:hAnsi="Arial"/>
          <w:color w:val="1F497D"/>
          <w:sz w:val="22"/>
          <w:szCs w:val="22"/>
          <w:lang w:val="en-US"/>
        </w:rPr>
        <w:br/>
        <w:br/>
      </w:r>
      <w:r>
        <w:rPr>
          <w:rFonts w:eastAsia="Times New Roman" w:cs="Arial" w:ascii="Arial" w:hAnsi="Arial"/>
          <w:color w:val="1F497D"/>
          <w:sz w:val="22"/>
          <w:szCs w:val="22"/>
          <w:shd w:fill="FFFFFF" w:val="clear"/>
          <w:lang w:val="en-US"/>
        </w:rPr>
        <w:t>Plenty of reward-related research to be done in other words, but what do we make of this? </w:t>
      </w:r>
      <w:hyperlink r:id="rId9">
        <w:r>
          <w:rPr>
            <w:rStyle w:val="InternetLink"/>
            <w:rFonts w:eastAsia="Times New Roman" w:cs="Arial" w:ascii="Arial" w:hAnsi="Arial"/>
            <w:color w:val="1F497D"/>
            <w:sz w:val="22"/>
            <w:szCs w:val="22"/>
            <w:u w:val="single"/>
            <w:shd w:fill="FFFFFF" w:val="clear"/>
            <w:lang w:val="en-US"/>
          </w:rPr>
          <w:t>Hills (2006)</w:t>
        </w:r>
      </w:hyperlink>
      <w:r>
        <w:rPr>
          <w:rFonts w:eastAsia="Times New Roman" w:cs="Arial" w:ascii="Arial" w:hAnsi="Arial"/>
          <w:color w:val="1F497D"/>
          <w:sz w:val="22"/>
          <w:szCs w:val="22"/>
          <w:shd w:fill="FFFFFF" w:val="clear"/>
          <w:lang w:val="en-US"/>
        </w:rPr>
        <w:t> argues that the evolution from anamniotes (fish and amphibians) to amniotes (reptiles, birds and mammals) involved a number of changes regarding dopamine and reward-processing, including: </w:t>
      </w:r>
      <w:r>
        <w:rPr>
          <w:rFonts w:eastAsia="Times New Roman" w:cs="Arial" w:ascii="Arial" w:hAnsi="Arial"/>
          <w:color w:val="1F497D"/>
          <w:sz w:val="22"/>
          <w:szCs w:val="22"/>
          <w:lang w:val="en-US"/>
        </w:rPr>
        <w:br/>
        <w:br/>
      </w:r>
    </w:p>
    <w:p>
      <w:pPr>
        <w:pStyle w:val="Normal"/>
        <w:numPr>
          <w:ilvl w:val="0"/>
          <w:numId w:val="2"/>
        </w:numPr>
        <w:shd w:fill="FFFFFF" w:val="clear"/>
        <w:spacing w:before="0" w:after="60"/>
        <w:ind w:left="0" w:right="0" w:hanging="360"/>
        <w:rPr>
          <w:rFonts w:eastAsia="Times New Roman" w:cs="Arial" w:ascii="Arial" w:hAnsi="Arial"/>
          <w:color w:val="1F497D"/>
          <w:sz w:val="22"/>
          <w:szCs w:val="22"/>
          <w:lang w:val="en-US"/>
        </w:rPr>
      </w:pPr>
      <w:r>
        <w:rPr>
          <w:rFonts w:eastAsia="Times New Roman" w:cs="Arial" w:ascii="Arial" w:hAnsi="Arial"/>
          <w:color w:val="1F497D"/>
          <w:sz w:val="22"/>
          <w:szCs w:val="22"/>
          <w:lang w:val="en-US"/>
        </w:rPr>
        <w:t>The number of cortical imputs to the striatum increased significantly</w:t>
      </w:r>
    </w:p>
    <w:p>
      <w:pPr>
        <w:pStyle w:val="Normal"/>
        <w:numPr>
          <w:ilvl w:val="0"/>
          <w:numId w:val="2"/>
        </w:numPr>
        <w:shd w:fill="FFFFFF" w:val="clear"/>
        <w:spacing w:before="0" w:after="60"/>
        <w:ind w:left="0" w:right="0" w:hanging="360"/>
        <w:rPr>
          <w:rFonts w:eastAsia="Times New Roman" w:cs="Arial" w:ascii="Arial" w:hAnsi="Arial"/>
          <w:color w:val="1F497D"/>
          <w:sz w:val="22"/>
          <w:szCs w:val="22"/>
          <w:lang w:val="en-US"/>
        </w:rPr>
      </w:pPr>
      <w:r>
        <w:rPr>
          <w:rFonts w:eastAsia="Times New Roman" w:cs="Arial" w:ascii="Arial" w:hAnsi="Arial"/>
          <w:color w:val="1F497D"/>
          <w:sz w:val="22"/>
          <w:szCs w:val="22"/>
          <w:lang w:val="en-US"/>
        </w:rPr>
        <w:t>The number of dopaminergic inputs to the striatum increased significantly</w:t>
      </w:r>
    </w:p>
    <w:p>
      <w:pPr>
        <w:pStyle w:val="Normal"/>
        <w:numPr>
          <w:ilvl w:val="0"/>
          <w:numId w:val="2"/>
        </w:numPr>
        <w:shd w:fill="FFFFFF" w:val="clear"/>
        <w:spacing w:before="0" w:after="60"/>
        <w:ind w:left="0" w:right="0" w:hanging="360"/>
        <w:rPr>
          <w:rFonts w:eastAsia="Times New Roman" w:cs="Arial" w:ascii="Arial" w:hAnsi="Arial"/>
          <w:color w:val="1F497D"/>
          <w:sz w:val="22"/>
          <w:szCs w:val="22"/>
          <w:lang w:val="en-US"/>
        </w:rPr>
      </w:pPr>
      <w:r>
        <w:rPr>
          <w:rFonts w:eastAsia="Times New Roman" w:cs="Arial" w:ascii="Arial" w:hAnsi="Arial"/>
          <w:color w:val="1F497D"/>
          <w:sz w:val="22"/>
          <w:szCs w:val="22"/>
          <w:lang w:val="en-US"/>
        </w:rPr>
        <w:t>The synaptic machinery that allows dopamine to modulate cortical input to the striatum expanded to include DARPP-32</w:t>
      </w:r>
    </w:p>
    <w:p>
      <w:pPr>
        <w:pStyle w:val="Normal"/>
        <w:numPr>
          <w:ilvl w:val="0"/>
          <w:numId w:val="2"/>
        </w:numPr>
        <w:shd w:fill="FFFFFF" w:val="clear"/>
        <w:spacing w:before="0" w:after="60"/>
        <w:ind w:left="0" w:right="0" w:hanging="360"/>
        <w:rPr>
          <w:rFonts w:eastAsia="Times New Roman" w:cs="Arial" w:ascii="Arial" w:hAnsi="Arial"/>
          <w:color w:val="1F497D"/>
          <w:sz w:val="22"/>
          <w:szCs w:val="22"/>
          <w:lang w:val="en-US"/>
        </w:rPr>
      </w:pPr>
      <w:r>
        <w:rPr>
          <w:rFonts w:eastAsia="Times New Roman" w:cs="Arial" w:ascii="Arial" w:hAnsi="Arial"/>
          <w:color w:val="1F497D"/>
          <w:sz w:val="22"/>
          <w:szCs w:val="22"/>
          <w:lang w:val="en-US"/>
        </w:rPr>
        <w:t>The dopaminergic signal transitioned from representing the presence of food to representing the expectation of reward more generally</w:t>
      </w:r>
    </w:p>
    <w:p>
      <w:pPr>
        <w:pStyle w:val="Normal"/>
        <w:rPr>
          <w:rFonts w:eastAsia="Times New Roman" w:cs="Arial" w:ascii="Arial" w:hAnsi="Arial"/>
          <w:color w:val="1F497D"/>
          <w:sz w:val="22"/>
          <w:szCs w:val="22"/>
          <w:lang w:val="en-US"/>
        </w:rPr>
      </w:pPr>
      <w:r>
        <w:rPr>
          <w:rFonts w:eastAsia="Times New Roman" w:cs="Arial" w:ascii="Arial" w:hAnsi="Arial"/>
          <w:color w:val="1F497D"/>
          <w:sz w:val="22"/>
          <w:szCs w:val="22"/>
          <w:lang w:val="en-US"/>
        </w:rPr>
        <w:br/>
      </w:r>
      <w:r>
        <w:rPr>
          <w:rFonts w:eastAsia="Times New Roman" w:cs="Arial" w:ascii="Arial" w:hAnsi="Arial"/>
          <w:color w:val="1F497D"/>
          <w:sz w:val="22"/>
          <w:szCs w:val="22"/>
          <w:shd w:fill="FFFFFF" w:val="clear"/>
          <w:lang w:val="en-US"/>
        </w:rPr>
        <w:t>As a consequence of these changes, Hills argues, amniotes were able to apply the neural mechanisms of foraging (e.g. 'area-restricted search', the ancestral function of dopamine, present even in worms and mollusks (</w:t>
      </w:r>
      <w:hyperlink r:id="rId10">
        <w:r>
          <w:rPr>
            <w:rStyle w:val="InternetLink"/>
            <w:rFonts w:eastAsia="Times New Roman" w:cs="Arial" w:ascii="Arial" w:hAnsi="Arial"/>
            <w:color w:val="1F497D"/>
            <w:sz w:val="22"/>
            <w:szCs w:val="22"/>
            <w:u w:val="single"/>
            <w:shd w:fill="FFFFFF" w:val="clear"/>
            <w:lang w:val="en-US"/>
          </w:rPr>
          <w:t>Barron et al., 2010</w:t>
        </w:r>
      </w:hyperlink>
      <w:r>
        <w:rPr>
          <w:rFonts w:eastAsia="Times New Roman" w:cs="Arial" w:ascii="Arial" w:hAnsi="Arial"/>
          <w:color w:val="1F497D"/>
          <w:sz w:val="22"/>
          <w:szCs w:val="22"/>
          <w:shd w:fill="FFFFFF" w:val="clear"/>
          <w:lang w:val="en-US"/>
        </w:rPr>
        <w:t>)) to search for </w:t>
      </w:r>
      <w:r>
        <w:rPr>
          <w:rFonts w:eastAsia="Times New Roman" w:cs="Arial" w:ascii="Arial" w:hAnsi="Arial"/>
          <w:i/>
          <w:iCs/>
          <w:color w:val="1F497D"/>
          <w:sz w:val="22"/>
          <w:szCs w:val="22"/>
          <w:shd w:fill="FFFFFF" w:val="clear"/>
          <w:lang w:val="en-US"/>
        </w:rPr>
        <w:t>any</w:t>
      </w:r>
      <w:r>
        <w:rPr>
          <w:rFonts w:eastAsia="Times New Roman" w:cs="Arial" w:ascii="Arial" w:hAnsi="Arial"/>
          <w:color w:val="1F497D"/>
          <w:sz w:val="22"/>
          <w:szCs w:val="22"/>
          <w:shd w:fill="FFFFFF" w:val="clear"/>
          <w:lang w:val="en-US"/>
        </w:rPr>
        <w:t> kind of information or goal, whether internal or external to the brain; a profoundly powerful adaptation. In addition to the four changes suggested by Hills I would add: </w:t>
      </w:r>
      <w:r>
        <w:rPr>
          <w:rFonts w:eastAsia="Times New Roman" w:cs="Arial" w:ascii="Arial" w:hAnsi="Arial"/>
          <w:color w:val="1F497D"/>
          <w:sz w:val="22"/>
          <w:szCs w:val="22"/>
          <w:lang w:val="en-US"/>
        </w:rPr>
        <w:br/>
        <w:br/>
      </w:r>
    </w:p>
    <w:p>
      <w:pPr>
        <w:pStyle w:val="Normal"/>
        <w:numPr>
          <w:ilvl w:val="0"/>
          <w:numId w:val="3"/>
        </w:numPr>
        <w:shd w:fill="FFFFFF" w:val="clear"/>
        <w:spacing w:before="0" w:after="60"/>
        <w:ind w:left="0" w:right="0" w:hanging="360"/>
        <w:rPr>
          <w:rFonts w:eastAsia="Times New Roman" w:cs="Arial" w:ascii="Arial" w:hAnsi="Arial"/>
          <w:color w:val="1F497D"/>
          <w:sz w:val="22"/>
          <w:szCs w:val="22"/>
          <w:lang w:val="en-US"/>
        </w:rPr>
      </w:pPr>
      <w:r>
        <w:rPr>
          <w:rFonts w:eastAsia="Times New Roman" w:cs="Arial" w:ascii="Arial" w:hAnsi="Arial"/>
          <w:color w:val="1F497D"/>
          <w:sz w:val="22"/>
          <w:szCs w:val="22"/>
          <w:lang w:val="en-US"/>
        </w:rPr>
        <w:t>Dopaminergic cell clusters became centralized in the midbrain</w:t>
      </w:r>
    </w:p>
    <w:p>
      <w:pPr>
        <w:pStyle w:val="Normal"/>
        <w:rPr>
          <w:rFonts w:eastAsia="Times New Roman" w:cs="Arial" w:ascii="Arial" w:hAnsi="Arial"/>
          <w:color w:val="1F497D"/>
          <w:sz w:val="22"/>
          <w:szCs w:val="22"/>
          <w:shd w:fill="FFFFFF" w:val="clear"/>
          <w:lang w:val="en-US"/>
        </w:rPr>
      </w:pPr>
      <w:r>
        <w:rPr>
          <w:rFonts w:eastAsia="Times New Roman" w:cs="Arial" w:ascii="Arial" w:hAnsi="Arial"/>
          <w:color w:val="1F497D"/>
          <w:sz w:val="22"/>
          <w:szCs w:val="22"/>
          <w:lang w:val="en-US"/>
        </w:rPr>
        <w:br/>
      </w:r>
      <w:r>
        <w:rPr>
          <w:rFonts w:eastAsia="Times New Roman" w:cs="Arial" w:ascii="Arial" w:hAnsi="Arial"/>
          <w:color w:val="1F497D"/>
          <w:sz w:val="22"/>
          <w:szCs w:val="22"/>
          <w:shd w:fill="FFFFFF" w:val="clear"/>
          <w:lang w:val="en-US"/>
        </w:rPr>
        <w:t>This centralization, together with some specific adaptations, such as gap junctions connecting dopaminergic axons, allowed amniote brains to generate a single, scalar reward signal that adjusts dopamine concentrations homogenously throughout the forebrain. </w:t>
      </w:r>
      <w:r>
        <w:rPr>
          <w:rFonts w:eastAsia="Times New Roman" w:cs="Arial" w:ascii="Arial" w:hAnsi="Arial"/>
          <w:color w:val="1F497D"/>
          <w:sz w:val="22"/>
          <w:szCs w:val="22"/>
          <w:lang w:val="en-US"/>
        </w:rPr>
        <w:br/>
        <w:br/>
      </w:r>
      <w:r>
        <w:rPr>
          <w:rFonts w:eastAsia="Times New Roman" w:cs="Arial" w:ascii="Arial" w:hAnsi="Arial"/>
          <w:color w:val="1F497D"/>
          <w:sz w:val="22"/>
          <w:szCs w:val="22"/>
          <w:shd w:fill="FFFFFF" w:val="clear"/>
          <w:lang w:val="en-US"/>
        </w:rPr>
        <w:t>I think what I need to ask now is: how does the more ancient dopamine reward system of fish actually work; what forms of reward-processing is it capable of; and does its distributed anatomy offer any advantages to the animal or to attempts to understand the neural basis of reward-based cognition? </w:t>
      </w:r>
    </w:p>
    <w:p>
      <w:pPr>
        <w:pStyle w:val="Normal"/>
        <w:rPr/>
      </w:pPr>
      <w:r>
        <w:rPr/>
      </w:r>
    </w:p>
    <w:p>
      <w:pPr>
        <w:pStyle w:val="Normal"/>
        <w:rPr/>
      </w:pPr>
      <w:r>
        <w:rPr/>
      </w:r>
    </w:p>
    <w:p>
      <w:pPr>
        <w:pStyle w:val="Normal"/>
        <w:rPr/>
      </w:pPr>
      <w:r>
        <w:rPr/>
      </w:r>
    </w:p>
    <w:p>
      <w:pPr>
        <w:pStyle w:val="Normal"/>
        <w:rPr/>
      </w:pPr>
      <w:r>
        <w:rPr/>
      </w:r>
    </w:p>
    <w:p>
      <w:pPr>
        <w:pStyle w:val="Normal"/>
        <w:rPr/>
      </w:pPr>
      <w:r>
        <w:rPr/>
        <w:t>projects:</w:t>
      </w:r>
    </w:p>
    <w:p>
      <w:pPr>
        <w:pStyle w:val="Normal"/>
        <w:rPr/>
      </w:pPr>
      <w:r>
        <w:rPr/>
      </w:r>
    </w:p>
    <w:p>
      <w:pPr>
        <w:pStyle w:val="Normal"/>
        <w:rPr/>
      </w:pPr>
      <w:r>
        <w:rPr/>
        <w:t>mimic presence of predators with optogenetic activation of ORNs</w:t>
      </w:r>
    </w:p>
    <w:p>
      <w:pPr>
        <w:pStyle w:val="Normal"/>
        <w:rPr/>
      </w:pPr>
      <w:r>
        <w:rPr/>
      </w:r>
    </w:p>
    <w:p>
      <w:pPr>
        <w:pStyle w:val="Normal"/>
        <w:rPr/>
      </w:pPr>
      <w:r>
        <w:rPr/>
        <w:t>induced learning with closed-loop optogenetic activation of dopaminergic pathways</w:t>
      </w:r>
    </w:p>
    <w:p>
      <w:pPr>
        <w:pStyle w:val="ListParagraph"/>
        <w:numPr>
          <w:ilvl w:val="0"/>
          <w:numId w:val="4"/>
        </w:numPr>
        <w:rPr/>
      </w:pPr>
      <w:r>
        <w:rPr/>
        <w:t>first find dopaminergic reward neurons</w:t>
      </w:r>
    </w:p>
    <w:p>
      <w:pPr>
        <w:pStyle w:val="ListParagraph"/>
        <w:numPr>
          <w:ilvl w:val="0"/>
          <w:numId w:val="4"/>
        </w:numPr>
        <w:rPr/>
      </w:pPr>
      <w:r>
        <w:rPr/>
        <w:t>silence to find what is actually rewarding about collective behaviour</w:t>
      </w:r>
    </w:p>
    <w:p>
      <w:pPr>
        <w:pStyle w:val="ListParagraph"/>
        <w:numPr>
          <w:ilvl w:val="0"/>
          <w:numId w:val="4"/>
        </w:numPr>
        <w:rPr/>
      </w:pPr>
      <w:r>
        <w:rPr/>
        <w:t>activate to create fictive learning regimes</w:t>
      </w:r>
    </w:p>
    <w:p>
      <w:pPr>
        <w:pStyle w:val="Normal"/>
        <w:rPr/>
      </w:pPr>
      <w:r>
        <w:rPr/>
      </w:r>
    </w:p>
    <w:p>
      <w:pPr>
        <w:pStyle w:val="Normal"/>
        <w:rPr/>
      </w:pPr>
      <w:r>
        <w:rPr/>
      </w:r>
    </w:p>
    <w:p>
      <w:pPr>
        <w:pStyle w:val="Normal"/>
        <w:rPr/>
      </w:pPr>
      <w:r>
        <w:rPr/>
        <w:t>group-level decision making with modified VCRDM</w:t>
      </w:r>
    </w:p>
    <w:p>
      <w:pPr>
        <w:pStyle w:val="ListParagraph"/>
        <w:numPr>
          <w:ilvl w:val="0"/>
          <w:numId w:val="5"/>
        </w:numPr>
        <w:rPr/>
      </w:pPr>
      <w:r>
        <w:rPr/>
        <w:t>Goal 1: to demonstrate emergent intelligence of large animal groups by group-size dependent improvement in a challenging discrimination task.</w:t>
      </w:r>
    </w:p>
    <w:p>
      <w:pPr>
        <w:pStyle w:val="ListParagraph"/>
        <w:numPr>
          <w:ilvl w:val="1"/>
          <w:numId w:val="5"/>
        </w:numPr>
        <w:rPr/>
      </w:pPr>
      <w:r>
        <w:rPr/>
        <w:t>Schadlen’s group uses the coherence of visual stimuli to precisely vary the difficulty of decisions, in order to observe the integration of conflicting information in neural networks in a drift-diffusion model.</w:t>
      </w:r>
    </w:p>
    <w:p>
      <w:pPr>
        <w:pStyle w:val="ListParagraph"/>
        <w:numPr>
          <w:ilvl w:val="1"/>
          <w:numId w:val="5"/>
        </w:numPr>
        <w:rPr/>
      </w:pPr>
      <w:r>
        <w:rPr/>
        <w:t>We hypothesize that groups of schooling fish integrate conflicting information in an analogous process to neural integrators</w:t>
      </w:r>
    </w:p>
    <w:p>
      <w:pPr>
        <w:pStyle w:val="ListParagraph"/>
        <w:numPr>
          <w:ilvl w:val="1"/>
          <w:numId w:val="5"/>
        </w:numPr>
        <w:rPr/>
      </w:pPr>
      <w:r>
        <w:rPr/>
        <w:t>Many fish species exhibit strong negative phototaxis, as demonstrated in Berdahl et al 2013</w:t>
      </w:r>
    </w:p>
    <w:p>
      <w:pPr>
        <w:pStyle w:val="ListParagraph"/>
        <w:numPr>
          <w:ilvl w:val="1"/>
          <w:numId w:val="5"/>
        </w:numPr>
        <w:rPr/>
      </w:pPr>
      <w:r>
        <w:rPr/>
        <w:t>give a rotating stimulus, fish will follow</w:t>
      </w:r>
    </w:p>
    <w:p>
      <w:pPr>
        <w:pStyle w:val="ListParagraph"/>
        <w:numPr>
          <w:ilvl w:val="1"/>
          <w:numId w:val="5"/>
        </w:numPr>
        <w:rPr/>
      </w:pPr>
      <w:r>
        <w:rPr/>
        <w:t>give conflicting ones, group should distinguish majority direction</w:t>
      </w:r>
    </w:p>
    <w:p>
      <w:pPr>
        <w:pStyle w:val="ListParagraph"/>
        <w:numPr>
          <w:ilvl w:val="2"/>
          <w:numId w:val="5"/>
        </w:numPr>
        <w:rPr/>
      </w:pPr>
      <w:r>
        <w:rPr/>
        <w:t>first establish that groups perform more accurately than alone</w:t>
      </w:r>
    </w:p>
    <w:p>
      <w:pPr>
        <w:pStyle w:val="ListParagraph"/>
        <w:numPr>
          <w:ilvl w:val="2"/>
          <w:numId w:val="5"/>
        </w:numPr>
        <w:rPr/>
      </w:pPr>
      <w:r>
        <w:rPr/>
        <w:t>with high res tracking, observe the formation of emergent decisions</w:t>
      </w:r>
    </w:p>
    <w:p>
      <w:pPr>
        <w:pStyle w:val="ListParagraph"/>
        <w:numPr>
          <w:ilvl w:val="0"/>
          <w:numId w:val="5"/>
        </w:numPr>
        <w:rPr/>
      </w:pPr>
      <w:r>
        <w:rPr/>
        <w:t>Goal 2: to use schooling fish as a model of complex information integration and observe the resolution of complex conflicts.</w:t>
      </w:r>
    </w:p>
    <w:p>
      <w:pPr>
        <w:pStyle w:val="ListParagraph"/>
        <w:numPr>
          <w:ilvl w:val="1"/>
          <w:numId w:val="5"/>
        </w:numPr>
        <w:rPr/>
      </w:pPr>
      <w:r>
        <w:rPr/>
        <w:t>In goal 1, we will demonstrate the ability of this system to integrate complex information and establish a method for guiding fish behaviour</w:t>
      </w:r>
    </w:p>
    <w:p>
      <w:pPr>
        <w:pStyle w:val="ListParagraph"/>
        <w:numPr>
          <w:ilvl w:val="1"/>
          <w:numId w:val="5"/>
        </w:numPr>
        <w:rPr/>
      </w:pPr>
      <w:r>
        <w:rPr/>
        <w:t xml:space="preserve">Using moving light patterns, steer fish schools into configurations that will cause conflicts.  </w:t>
      </w:r>
    </w:p>
    <w:p>
      <w:pPr>
        <w:pStyle w:val="ListParagraph"/>
        <w:numPr>
          <w:ilvl w:val="1"/>
          <w:numId w:val="5"/>
        </w:numPr>
        <w:rPr/>
      </w:pPr>
      <w:r>
        <w:rPr/>
        <w:t>The system should operate with dual-phase evolution. By steering fish with projections, we should be able to induce fragmented and connected states and observe the transitions between them.</w:t>
      </w:r>
    </w:p>
    <w:p>
      <w:pPr>
        <w:pStyle w:val="ListParagraph"/>
        <w:numPr>
          <w:ilvl w:val="1"/>
          <w:numId w:val="5"/>
        </w:numPr>
        <w:rPr/>
      </w:pPr>
      <w:bookmarkStart w:id="0" w:name="_GoBack"/>
      <w:bookmarkEnd w:id="0"/>
      <w:r>
        <w:rPr/>
        <w:t>Dual-phase evolution vs Self-organized criticality</w:t>
      </w:r>
    </w:p>
    <w:p>
      <w:pPr>
        <w:pStyle w:val="ListParagraph"/>
        <w:numPr>
          <w:ilvl w:val="0"/>
          <w:numId w:val="5"/>
        </w:numPr>
        <w:rPr/>
      </w:pPr>
      <w:r>
        <w:rPr/>
        <w:t>Goal 3: System memory (hysteresis)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numPr>
          <w:ilvl w:val="0"/>
          <w:numId w:val="7"/>
        </w:numPr>
        <w:rPr/>
      </w:pPr>
      <w:r>
        <w:rPr/>
        <w:t>Demonstrate that large groups can interpret global trends from locally-noisy stimuli through VCRDM</w:t>
      </w:r>
    </w:p>
    <w:p>
      <w:pPr>
        <w:pStyle w:val="Normal"/>
        <w:numPr>
          <w:ilvl w:val="1"/>
          <w:numId w:val="8"/>
        </w:numPr>
        <w:rPr/>
      </w:pPr>
      <w:r>
        <w:rPr/>
        <w:t>Establish the method of using visual stimuli to drive behaviour of schooling fist (cite Berdahl and pilot experiments).</w:t>
      </w:r>
    </w:p>
    <w:p>
      <w:pPr>
        <w:pStyle w:val="Normal"/>
        <w:numPr>
          <w:ilvl w:val="1"/>
          <w:numId w:val="8"/>
        </w:numPr>
        <w:rPr/>
      </w:pPr>
      <w:r>
        <w:rPr/>
        <w:t>Explore the relationship between group size and stimulus coherence to identify the efficacy of collective decision making.</w:t>
      </w:r>
    </w:p>
    <w:p>
      <w:pPr>
        <w:pStyle w:val="Normal"/>
        <w:numPr>
          <w:ilvl w:val="1"/>
          <w:numId w:val="8"/>
        </w:numPr>
        <w:rPr/>
      </w:pPr>
      <w:r>
        <w:rPr/>
        <w:t xml:space="preserve">Compare the relationship from (2) across species to demonstrate the importance of the “biological filter”. The parameters that vary between species will give some indication of the function of the filter. </w:t>
      </w:r>
    </w:p>
    <w:p>
      <w:pPr>
        <w:pStyle w:val="Normal"/>
        <w:numPr>
          <w:ilvl w:val="1"/>
          <w:numId w:val="8"/>
        </w:numPr>
        <w:rPr/>
      </w:pPr>
      <w:r>
        <w:rPr/>
        <w:t>Hysteresis</w:t>
      </w:r>
    </w:p>
    <w:p>
      <w:pPr>
        <w:pStyle w:val="Normal"/>
        <w:numPr>
          <w:ilvl w:val="0"/>
          <w:numId w:val="7"/>
        </w:numPr>
        <w:rPr/>
      </w:pPr>
      <w:r>
        <w:rPr/>
        <w:t>Characterize individual responses to stimuli to interpret “filter” functions of fish.</w:t>
      </w:r>
    </w:p>
    <w:p>
      <w:pPr>
        <w:pStyle w:val="Normal"/>
        <w:numPr>
          <w:ilvl w:val="1"/>
          <w:numId w:val="9"/>
        </w:numPr>
        <w:rPr/>
      </w:pPr>
      <w:r>
        <w:rPr/>
        <w:t>What specific sensory inputs lead to distinct and/or stereotyped behavioural responses in individuals and groups?</w:t>
      </w:r>
    </w:p>
    <w:p>
      <w:pPr>
        <w:pStyle w:val="Normal"/>
        <w:numPr>
          <w:ilvl w:val="1"/>
          <w:numId w:val="9"/>
        </w:numPr>
        <w:rPr/>
      </w:pPr>
      <w:r>
        <w:rPr/>
        <w:t>Explore the function of the network from one level up, interpeting how filtered information is processed.</w:t>
      </w:r>
    </w:p>
    <w:p>
      <w:pPr>
        <w:pStyle w:val="Normal"/>
        <w:numPr>
          <w:ilvl w:val="1"/>
          <w:numId w:val="9"/>
        </w:numPr>
        <w:rPr/>
      </w:pPr>
      <w:r>
        <w:rPr/>
        <w:t>Are there higher-level functions of collectives that are due to the processing of filtered information? In other  words, what phenomena of collectives cannot be explained by purely physical interactions?</w:t>
      </w:r>
    </w:p>
    <w:p>
      <w:pPr>
        <w:pStyle w:val="Normal"/>
        <w:numPr>
          <w:ilvl w:val="0"/>
          <w:numId w:val="7"/>
        </w:numPr>
        <w:rPr/>
      </w:pPr>
      <w:r>
        <w:rPr/>
        <w:t>Use visual stimuli to create critical network environments.</w:t>
      </w:r>
    </w:p>
    <w:p>
      <w:pPr>
        <w:pStyle w:val="Normal"/>
        <w:numPr>
          <w:ilvl w:val="1"/>
          <w:numId w:val="10"/>
        </w:numPr>
        <w:rPr/>
      </w:pPr>
      <w:r>
        <w:rPr/>
        <w:t xml:space="preserve">Using knowledge of behavioural responses to visual stimuli, first </w:t>
      </w:r>
      <w:r>
        <w:rPr/>
        <w:t>establish configurations with high conflict, then observe the resolution back to low-conflict states.</w:t>
      </w:r>
      <w:r>
        <w:rPr/>
        <w:tab/>
      </w:r>
    </w:p>
    <w:p>
      <w:pPr>
        <w:pStyle w:val="Normal"/>
        <w:rPr/>
      </w:pPr>
      <w:r>
        <w:rPr/>
      </w:r>
    </w:p>
    <w:p>
      <w:pPr>
        <w:pStyle w:val="Normal"/>
        <w:pageBreakBefore/>
        <w:rPr/>
      </w:pPr>
      <w:r>
        <w:rPr/>
        <w:t>Emergence:</w:t>
      </w:r>
    </w:p>
    <w:p>
      <w:pPr>
        <w:pStyle w:val="Normal"/>
        <w:rPr/>
      </w:pPr>
      <w:r>
        <w:rPr/>
      </w:r>
    </w:p>
    <w:p>
      <w:pPr>
        <w:pStyle w:val="Normal"/>
        <w:rPr/>
      </w:pPr>
      <w:r>
        <w:rPr/>
        <w:t xml:space="preserve">Through mechanistic understanding of binary decision making by </w:t>
      </w:r>
      <w:r>
        <w:rPr/>
        <w:t xml:space="preserve">various </w:t>
      </w:r>
      <w:r>
        <w:rPr/>
        <w:t xml:space="preserve">collective systems, we will learn complementary concepts about emergent intelligence. Each system can provide a structured view of the solution, although some aspects of the solution are obscured due to experimental limitations. </w:t>
      </w:r>
    </w:p>
    <w:p>
      <w:pPr>
        <w:pStyle w:val="Normal"/>
        <w:rPr/>
      </w:pPr>
      <w:r>
        <w:rPr/>
      </w:r>
    </w:p>
    <w:p>
      <w:pPr>
        <w:pStyle w:val="Normal"/>
        <w:rPr/>
      </w:pPr>
      <w:r>
        <w:rPr/>
      </w:r>
    </w:p>
    <w:p>
      <w:pPr>
        <w:pStyle w:val="Normal"/>
        <w:rPr/>
      </w:pPr>
      <w:r>
        <w:rPr/>
        <w:t>Whether in swarms of animals, networks of neurons, or colliding molecules, emergent properties of “repeated systems” share commonalities across scales. Concepts of emergence, no matter from whence they are derived, are relevant to other collective systems.</w:t>
      </w:r>
    </w:p>
    <w:p>
      <w:pPr>
        <w:pStyle w:val="Normal"/>
        <w:rPr/>
      </w:pPr>
      <w:r>
        <w:rPr/>
      </w:r>
    </w:p>
    <w:p>
      <w:pPr>
        <w:pStyle w:val="Normal"/>
        <w:rPr/>
      </w:pPr>
      <w:r>
        <w:rPr/>
      </w:r>
    </w:p>
    <w:p>
      <w:pPr>
        <w:pStyle w:val="Normal"/>
        <w:rPr/>
      </w:pPr>
      <w:r>
        <w:rPr/>
        <w:t xml:space="preserve">Emergent properties can inform about the inherent properties of agents that are not easily observed or recognized at the individual level. </w:t>
      </w:r>
    </w:p>
    <w:p>
      <w:pPr>
        <w:pStyle w:val="Normal"/>
        <w:rPr/>
      </w:pPr>
      <w:r>
        <w:rPr/>
      </w:r>
    </w:p>
    <w:p>
      <w:pPr>
        <w:pStyle w:val="Normal"/>
        <w:rPr/>
      </w:pPr>
      <w:r>
        <w:rPr/>
        <w:t>There are advantages to using biological systems over computer generated models.</w:t>
      </w:r>
    </w:p>
    <w:p>
      <w:pPr>
        <w:pStyle w:val="Normal"/>
        <w:rPr/>
      </w:pPr>
      <w:r>
        <w:rPr/>
      </w:r>
    </w:p>
    <w:p>
      <w:pPr>
        <w:pStyle w:val="Normal"/>
        <w:rPr/>
      </w:pPr>
      <w:r>
        <w:rPr/>
        <w:t>Scaled examples of analogous phenomena:</w:t>
      </w:r>
    </w:p>
    <w:p>
      <w:pPr>
        <w:pStyle w:val="Normal"/>
        <w:rPr/>
      </w:pPr>
      <w:r>
        <w:rPr/>
      </w:r>
    </w:p>
    <w:p>
      <w:pPr>
        <w:pStyle w:val="ListParagraph"/>
        <w:numPr>
          <w:ilvl w:val="0"/>
          <w:numId w:val="6"/>
        </w:numPr>
        <w:rPr/>
      </w:pPr>
      <w:r>
        <w:rPr/>
        <w:t xml:space="preserve">Water molecules flowing into a drain. Brownian motion, latent flow, and weak centripetal forces act on still water. Rotational flow emerges as the only non-random force (earth’s rotation) from the weakest forces applied billions of times.  </w:t>
      </w:r>
      <w:r>
        <w:rPr/>
        <w:t>(Shapiro, A.H (1962). “Bath-tub Vortex”. Nature, 196(4859):1080-1081.)</w:t>
      </w:r>
    </w:p>
    <w:p>
      <w:pPr>
        <w:pStyle w:val="ListParagraph"/>
        <w:numPr>
          <w:ilvl w:val="0"/>
          <w:numId w:val="6"/>
        </w:numPr>
        <w:rPr/>
      </w:pPr>
      <w:r>
        <w:rPr/>
        <w:t>Neural processing of noisy signals (ex VCRDM). Local estimates are summed and integrated, and majority emerges.</w:t>
      </w:r>
    </w:p>
    <w:p>
      <w:pPr>
        <w:pStyle w:val="ListParagraph"/>
        <w:numPr>
          <w:ilvl w:val="0"/>
          <w:numId w:val="6"/>
        </w:numPr>
        <w:rPr/>
      </w:pPr>
      <w:r>
        <w:rPr/>
        <w:t>Milling fish.</w:t>
      </w:r>
    </w:p>
    <w:p>
      <w:pPr>
        <w:pStyle w:val="ListParagraph"/>
        <w:numPr>
          <w:ilvl w:val="0"/>
          <w:numId w:val="6"/>
        </w:numPr>
        <w:rPr/>
      </w:pPr>
      <w:r>
        <w:rPr/>
        <w:t>SEED-SCALE</w:t>
      </w:r>
    </w:p>
    <w:p>
      <w:pPr>
        <w:pStyle w:val="Normal"/>
        <w:rPr/>
      </w:pPr>
      <w:r>
        <w:rPr/>
      </w:r>
    </w:p>
    <w:p>
      <w:pPr>
        <w:pStyle w:val="Normal"/>
        <w:rPr/>
      </w:pPr>
      <w:r>
        <w:rPr/>
      </w:r>
    </w:p>
    <w:p>
      <w:pPr>
        <w:pStyle w:val="Normal"/>
        <w:rPr/>
      </w:pPr>
      <w:r>
        <w:rPr/>
        <w:t>Top-down feedback in emergent systems</w:t>
      </w:r>
    </w:p>
    <w:p>
      <w:pPr>
        <w:pStyle w:val="Normal"/>
        <w:rPr>
          <w:rStyle w:val="InternetLink"/>
          <w:rFonts w:eastAsia="Times New Roman" w:cs="Times New Roman" w:ascii="Helvetica" w:hAnsi="Helvetica"/>
          <w:i/>
          <w:iCs/>
          <w:color w:val="0B0080"/>
          <w:sz w:val="15"/>
          <w:szCs w:val="15"/>
          <w:shd w:fill="F7F7F7" w:val="clear"/>
        </w:rPr>
      </w:pPr>
      <w:r>
        <w:rPr/>
        <w:tab/>
        <w:t>can lead to scale-dependent properties (</w:t>
      </w:r>
      <w:r>
        <w:rPr>
          <w:rFonts w:eastAsia="Times New Roman" w:cs="Times New Roman" w:ascii="Helvetica" w:hAnsi="Helvetica"/>
          <w:color w:val="000000"/>
          <w:sz w:val="15"/>
          <w:szCs w:val="15"/>
          <w:shd w:fill="F7F7F7" w:val="clear"/>
        </w:rPr>
        <w:t>See, e.g.,</w:t>
      </w:r>
      <w:r>
        <w:rPr>
          <w:rStyle w:val="Appleconvertedspace"/>
          <w:rFonts w:eastAsia="Times New Roman" w:cs="Times New Roman" w:ascii="Helvetica" w:hAnsi="Helvetica"/>
          <w:color w:val="000000"/>
          <w:sz w:val="15"/>
          <w:szCs w:val="15"/>
          <w:shd w:fill="F7F7F7" w:val="clear"/>
        </w:rPr>
        <w:t> </w:t>
      </w:r>
      <w:hyperlink r:id="rId11">
        <w:r>
          <w:rPr>
            <w:rStyle w:val="InternetLink"/>
            <w:rFonts w:eastAsia="Times New Roman" w:cs="Times New Roman" w:ascii="Helvetica" w:hAnsi="Helvetica"/>
            <w:i/>
            <w:iCs/>
            <w:color w:val="0B0080"/>
            <w:sz w:val="15"/>
            <w:szCs w:val="15"/>
            <w:shd w:fill="F7F7F7" w:val="clear"/>
          </w:rPr>
          <w:t>Korotayev, A.</w:t>
        </w:r>
      </w:hyperlink>
      <w:r>
        <w:rPr>
          <w:rStyle w:val="HTMLCite"/>
          <w:rFonts w:eastAsia="Times New Roman" w:cs="Times New Roman" w:ascii="Helvetica" w:hAnsi="Helvetica"/>
          <w:color w:val="000000"/>
          <w:sz w:val="15"/>
          <w:szCs w:val="15"/>
          <w:shd w:fill="F7F7F7" w:val="clear"/>
        </w:rPr>
        <w:t>; Malkov, A.; Khaltourina, D. (2006),</w:t>
      </w:r>
      <w:r>
        <w:rPr>
          <w:rStyle w:val="Appleconvertedspace"/>
          <w:rFonts w:eastAsia="Times New Roman" w:cs="Times New Roman" w:ascii="Helvetica" w:hAnsi="Helvetica"/>
          <w:i/>
          <w:iCs/>
          <w:color w:val="000000"/>
          <w:sz w:val="15"/>
          <w:szCs w:val="15"/>
          <w:shd w:fill="F7F7F7" w:val="clear"/>
        </w:rPr>
        <w:t> </w:t>
      </w:r>
      <w:hyperlink r:id="rId12">
        <w:r>
          <w:rPr>
            <w:rStyle w:val="VisitedInternetLink"/>
            <w:rFonts w:eastAsia="Times New Roman" w:cs="Times New Roman" w:ascii="Helvetica" w:hAnsi="Helvetica"/>
            <w:i/>
            <w:iCs/>
            <w:color w:val="0B0080"/>
            <w:sz w:val="15"/>
            <w:szCs w:val="15"/>
            <w:shd w:fill="F7F7F7" w:val="clear"/>
          </w:rPr>
          <w:t>Introduction to Social Macrodynamics: Compact Macromodels of the World System Growth</w:t>
        </w:r>
      </w:hyperlink>
      <w:r>
        <w:rPr>
          <w:rStyle w:val="HTMLCite"/>
          <w:rFonts w:eastAsia="Times New Roman" w:cs="Times New Roman" w:ascii="Helvetica" w:hAnsi="Helvetica"/>
          <w:color w:val="000000"/>
          <w:sz w:val="15"/>
          <w:szCs w:val="15"/>
          <w:shd w:fill="F7F7F7" w:val="clear"/>
        </w:rPr>
        <w:t>, Moscow: URSS,</w:t>
      </w:r>
      <w:r>
        <w:rPr>
          <w:rStyle w:val="Appleconvertedspace"/>
          <w:rFonts w:eastAsia="Times New Roman" w:cs="Times New Roman" w:ascii="Helvetica" w:hAnsi="Helvetica"/>
          <w:i/>
          <w:iCs/>
          <w:color w:val="000000"/>
          <w:sz w:val="15"/>
          <w:szCs w:val="15"/>
          <w:shd w:fill="F7F7F7" w:val="clear"/>
        </w:rPr>
        <w:t> </w:t>
      </w:r>
      <w:hyperlink r:id="rId13">
        <w:r>
          <w:rPr>
            <w:rStyle w:val="InternetLink"/>
            <w:rFonts w:eastAsia="Times New Roman" w:cs="Times New Roman" w:ascii="Helvetica" w:hAnsi="Helvetica"/>
            <w:i/>
            <w:iCs/>
            <w:color w:val="0B0080"/>
            <w:sz w:val="15"/>
            <w:szCs w:val="15"/>
            <w:shd w:fill="F7F7F7" w:val="clear"/>
          </w:rPr>
          <w:t>ISBN</w:t>
        </w:r>
      </w:hyperlink>
      <w:r>
        <w:rPr>
          <w:rStyle w:val="HTMLCite"/>
          <w:rFonts w:eastAsia="Times New Roman" w:cs="Times New Roman" w:ascii="Helvetica" w:hAnsi="Helvetica"/>
          <w:color w:val="000000"/>
          <w:sz w:val="15"/>
          <w:szCs w:val="15"/>
          <w:shd w:fill="F7F7F7" w:val="clear"/>
        </w:rPr>
        <w:t> </w:t>
      </w:r>
      <w:hyperlink r:id="rId14">
        <w:r>
          <w:rPr>
            <w:rStyle w:val="InternetLink"/>
            <w:rFonts w:eastAsia="Times New Roman" w:cs="Times New Roman" w:ascii="Helvetica" w:hAnsi="Helvetica"/>
            <w:i/>
            <w:iCs/>
            <w:color w:val="0B0080"/>
            <w:sz w:val="15"/>
            <w:szCs w:val="15"/>
            <w:shd w:fill="F7F7F7" w:val="clear"/>
          </w:rPr>
          <w:t>5-484-00414-4</w:t>
        </w:r>
      </w:hyperlink>
    </w:p>
    <w:p>
      <w:pPr>
        <w:pStyle w:val="Normal"/>
        <w:rPr/>
      </w:pPr>
      <w:r>
        <w:rPr/>
        <w:t>)</w:t>
      </w:r>
    </w:p>
    <w:p>
      <w:pPr>
        <w:pStyle w:val="Normal"/>
        <w:rPr/>
      </w:pPr>
      <w:r>
        <w:rPr/>
      </w:r>
    </w:p>
    <w:p>
      <w:pPr>
        <w:pStyle w:val="Normal"/>
        <w:rPr/>
      </w:pPr>
      <w:r>
        <w:rPr/>
      </w:r>
    </w:p>
    <w:p>
      <w:pPr>
        <w:pStyle w:val="Normal"/>
        <w:rPr/>
      </w:pPr>
      <w:r>
        <w:rPr/>
      </w:r>
    </w:p>
    <w:p>
      <w:pPr>
        <w:pStyle w:val="Normal"/>
        <w:rPr/>
      </w:pPr>
      <w:r>
        <w:rPr/>
      </w:r>
    </w:p>
    <w:p>
      <w:pPr>
        <w:pStyle w:val="Normal"/>
        <w:pageBreakBefore/>
        <w:rPr/>
      </w:pPr>
      <w:r>
        <w:rPr/>
        <w:t>Current state of Research:</w:t>
      </w:r>
    </w:p>
    <w:p>
      <w:pPr>
        <w:pStyle w:val="Normal"/>
        <w:rPr/>
      </w:pPr>
      <w:r>
        <w:rPr/>
      </w:r>
    </w:p>
    <w:p>
      <w:pPr>
        <w:pStyle w:val="Normal"/>
        <w:rPr/>
      </w:pPr>
      <w:r>
        <w:rPr/>
        <w:t>Five publications:</w:t>
      </w:r>
    </w:p>
    <w:p>
      <w:pPr>
        <w:pStyle w:val="Normal"/>
        <w:numPr>
          <w:ilvl w:val="0"/>
          <w:numId w:val="11"/>
        </w:numPr>
        <w:rPr/>
      </w:pPr>
      <w:r>
        <w:rPr/>
        <w:t>Something from Schadlen</w:t>
      </w:r>
    </w:p>
    <w:p>
      <w:pPr>
        <w:pStyle w:val="Normal"/>
        <w:numPr>
          <w:ilvl w:val="0"/>
          <w:numId w:val="11"/>
        </w:numPr>
        <w:rPr/>
      </w:pPr>
      <w:r>
        <w:rPr/>
        <w:t>Berdahl</w:t>
      </w:r>
    </w:p>
    <w:p>
      <w:pPr>
        <w:pStyle w:val="Normal"/>
        <w:numPr>
          <w:ilvl w:val="0"/>
          <w:numId w:val="11"/>
        </w:numPr>
        <w:rPr/>
      </w:pPr>
      <w:r>
        <w:rPr/>
        <w:t>Ioannou 2016</w:t>
      </w:r>
    </w:p>
    <w:p>
      <w:pPr>
        <w:pStyle w:val="Normal"/>
        <w:rPr/>
      </w:pPr>
      <w:r>
        <w:rPr/>
      </w:r>
    </w:p>
    <w:p>
      <w:pPr>
        <w:pStyle w:val="Normal"/>
        <w:spacing w:lineRule="auto" w:line="360"/>
        <w:rPr/>
      </w:pPr>
      <w:r>
        <w:rPr/>
      </w:r>
    </w:p>
    <w:p>
      <w:pPr>
        <w:pStyle w:val="Normal"/>
        <w:spacing w:lineRule="auto" w:line="360"/>
        <w:rPr>
          <w:b/>
          <w:bCs/>
        </w:rPr>
      </w:pPr>
      <w:r>
        <w:rPr>
          <w:b/>
          <w:bCs/>
        </w:rPr>
        <w:t>Collective Intelligence in Fish Models</w:t>
      </w:r>
    </w:p>
    <w:p>
      <w:pPr>
        <w:pStyle w:val="Normal"/>
        <w:spacing w:lineRule="auto" w:line="360"/>
        <w:jc w:val="both"/>
        <w:rPr/>
      </w:pPr>
      <w:r>
        <w:rPr/>
        <w:tab/>
        <w:t xml:space="preserve">The field of collective intelligence has been studied for over a century (REF Galton 1907 (foundin in Ionnou 2016)). Despite its longevity, a fundamental component of collective intelligence, the </w:t>
      </w:r>
      <w:r>
        <w:rPr/>
        <w:t>mechanism of improved cognitive performance, remains difficult to discern. Ioannou (2016) summarized this fault, and divided the mechanisms into four broad categories: individual-level, centralization, leadership, and swarm intelligence. Individual-level cognitive abilities derive from individuals' re-allocating cognitive processes in response to advantages of group size. Centralization and leadership both involve groups selectively processing or distributing information from selected individuals. Swarm intelligence, on the other hand, occurs when information flows throughout the group and no individuals are particularly influential. Ioannou argues that only swarm intelligence is a truly emergent property (***DOUBLE CHECK THIS). Examples of swarm intelligence are prominent in some species, particularly social insects, but the existence of swarm intelligence remains a topic of debate for others, particularly schools of fish.</w:t>
      </w:r>
    </w:p>
    <w:p>
      <w:pPr>
        <w:pStyle w:val="Normal"/>
        <w:spacing w:lineRule="auto" w:line="360"/>
        <w:jc w:val="both"/>
        <w:rPr>
          <w:i w:val="false"/>
          <w:iCs w:val="false"/>
        </w:rPr>
      </w:pPr>
      <w:r>
        <w:rPr/>
        <w:tab/>
        <w:t xml:space="preserve">Studies of fish schooling have until now focused on performance of </w:t>
      </w:r>
      <w:r>
        <w:rPr/>
        <w:t>a few</w:t>
      </w:r>
      <w:r>
        <w:rPr/>
        <w:t xml:space="preserve"> ecologically relevant tasks, such as responding to predation cues or finding food sources.  In these tasks, some animals receive strong cues, and others receive little to no information </w:t>
      </w:r>
      <w:r>
        <w:rPr/>
        <w:t xml:space="preserve">and the unequal distribution of information results in obligatory leader-follower relationships. </w:t>
      </w:r>
      <w:r>
        <w:rPr/>
        <w:t xml:space="preserve">It is therefore impossible to distinguish between models of </w:t>
      </w:r>
      <w:r>
        <w:rPr/>
        <w:t>centralization/leadership</w:t>
      </w:r>
      <w:r>
        <w:rPr/>
        <w:t xml:space="preserve"> or distributed (aka “swarm”) intelligence.</w:t>
        <w:tab/>
      </w:r>
      <w:r>
        <w:rPr/>
        <w:t xml:space="preserve">As a notable exception, Berdahl </w:t>
      </w:r>
      <w:r>
        <w:rPr>
          <w:i/>
          <w:iCs/>
        </w:rPr>
        <w:t>et al</w:t>
      </w:r>
      <w:r>
        <w:rPr>
          <w:i w:val="false"/>
          <w:iCs w:val="false"/>
        </w:rPr>
        <w:t xml:space="preserve"> (201X, REF) demonstrated collective perception in fish schools by exposing the group to patterned light/shade gradients. In this study, the </w:t>
      </w:r>
      <w:r>
        <w:rPr>
          <w:i w:val="false"/>
          <w:iCs w:val="false"/>
        </w:rPr>
        <w:t>collective responses to</w:t>
      </w:r>
      <w:r>
        <w:rPr>
          <w:i w:val="false"/>
          <w:iCs w:val="false"/>
        </w:rPr>
        <w:t xml:space="preserve"> local </w:t>
      </w:r>
      <w:r>
        <w:rPr>
          <w:i w:val="false"/>
          <w:iCs w:val="false"/>
        </w:rPr>
        <w:t xml:space="preserve"> light intensity </w:t>
      </w:r>
      <w:r>
        <w:rPr>
          <w:i w:val="false"/>
          <w:iCs w:val="false"/>
        </w:rPr>
        <w:t>affected a</w:t>
      </w:r>
      <w:r>
        <w:rPr>
          <w:i w:val="false"/>
          <w:iCs w:val="false"/>
        </w:rPr>
        <w:t>n emergent</w:t>
      </w:r>
      <w:r>
        <w:rPr>
          <w:i w:val="false"/>
          <w:iCs w:val="false"/>
        </w:rPr>
        <w:t xml:space="preserve"> optimization response. </w:t>
      </w:r>
      <w:r>
        <w:rPr>
          <w:i w:val="false"/>
          <w:iCs w:val="false"/>
        </w:rPr>
        <w:t xml:space="preserve">Importantly, in this study, the </w:t>
      </w:r>
      <w:r>
        <w:rPr>
          <w:i w:val="false"/>
          <w:iCs w:val="false"/>
        </w:rPr>
        <w:t>information was distributed across the entire grou</w:t>
      </w:r>
      <w:r>
        <w:rPr>
          <w:i w:val="false"/>
          <w:iCs w:val="false"/>
        </w:rPr>
        <w:t>p; decentralized information was processed in a decentralized way to produce a meaningful response.  Therefore, with the appropriate experimental design, the collective behaviour of fish can serve as a model of swarm intelligence.</w:t>
      </w:r>
    </w:p>
    <w:p>
      <w:pPr>
        <w:pStyle w:val="Normal"/>
        <w:spacing w:lineRule="auto" w:line="360"/>
        <w:jc w:val="both"/>
        <w:rPr/>
      </w:pPr>
      <w:r>
        <w:rPr/>
      </w:r>
    </w:p>
    <w:p>
      <w:pPr>
        <w:pStyle w:val="Normal"/>
        <w:spacing w:lineRule="auto" w:line="360"/>
        <w:jc w:val="both"/>
        <w:rPr>
          <w:b/>
          <w:bCs/>
        </w:rPr>
      </w:pPr>
      <w:r>
        <w:rPr>
          <w:b/>
          <w:bCs/>
        </w:rPr>
        <w:t>Emergent information processing</w:t>
      </w:r>
    </w:p>
    <w:p>
      <w:pPr>
        <w:pStyle w:val="Normal"/>
        <w:spacing w:lineRule="auto" w:line="360"/>
        <w:jc w:val="both"/>
        <w:rPr/>
      </w:pPr>
      <w:r>
        <w:rPr/>
        <w:tab/>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t>QUESTIONS</w:t>
      </w:r>
    </w:p>
    <w:p>
      <w:pPr>
        <w:pStyle w:val="Normal"/>
        <w:spacing w:lineRule="auto" w:line="360"/>
        <w:jc w:val="both"/>
        <w:rPr/>
      </w:pPr>
      <w:r>
        <w:rPr/>
      </w:r>
    </w:p>
    <w:p>
      <w:pPr>
        <w:pStyle w:val="Normal"/>
        <w:spacing w:lineRule="auto" w:line="360"/>
        <w:jc w:val="both"/>
        <w:rPr/>
      </w:pPr>
      <w:r>
        <w:rPr/>
        <w:t xml:space="preserve">Can </w:t>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sectPr>
      <w:type w:val="nextPage"/>
      <w:pgSz w:w="12240" w:h="15840"/>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w:altName w:val="Times New Roman"/>
    <w:charset w:val="01"/>
    <w:family w:val="roman"/>
    <w:pitch w:val="variable"/>
  </w:font>
  <w:font w:name="Arial">
    <w:charset w:val="01"/>
    <w:family w:val="roman"/>
    <w:pitch w:val="variable"/>
  </w:font>
  <w:font w:name="Helvetica">
    <w:altName w:val="Arial"/>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9">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0">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80"/>
  <w:defaultTabStop w:val="720"/>
</w:settings>
</file>

<file path=word/styles.xml><?xml version="1.0" encoding="utf-8"?>
<w:styles xmlns:w="http://schemas.openxmlformats.org/wordprocessingml/2006/main">
  <w:docDefaults>
    <w:rPrDefault>
      <w:rPr>
        <w:rFonts w:ascii="Cambria" w:hAnsi="Cambria" w:eastAsia="Droid Sans Fallback" w:cs=""/>
        <w:sz w:val="24"/>
        <w:szCs w:val="24"/>
        <w:lang w:val="en-US" w:eastAsia="en-US" w:bidi="ar-SA"/>
      </w:rPr>
    </w:rPrDefault>
    <w:pPrDefault>
      <w:pPr/>
    </w:pPrDefault>
  </w:docDefaults>
  <w:latentStyles w:defQFormat="0" w:defUnhideWhenUsed="1" w:defSemiHidden="1" w:defUIPriority="99" w:count="276"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jc w:val="left"/>
    </w:pPr>
    <w:rPr>
      <w:rFonts w:ascii="Cambria" w:hAnsi="Cambria" w:eastAsia="Droid Sans Fallback" w:cs=""/>
      <w:color w:val="auto"/>
      <w:sz w:val="24"/>
      <w:szCs w:val="24"/>
      <w:lang w:val="en-CA" w:eastAsia="en-US" w:bidi="ar-SA"/>
    </w:rPr>
  </w:style>
  <w:style w:type="character" w:styleId="DefaultParagraphFont" w:default="1">
    <w:name w:val="Default Paragraph Font"/>
    <w:uiPriority w:val="1"/>
    <w:semiHidden/>
    <w:unhideWhenUsed/>
    <w:rPr/>
  </w:style>
  <w:style w:type="character" w:styleId="InternetLink">
    <w:name w:val="Internet Link"/>
    <w:uiPriority w:val="99"/>
    <w:semiHidden/>
    <w:unhideWhenUsed/>
    <w:rsid w:val="0010192c"/>
    <w:basedOn w:val="DefaultParagraphFont"/>
    <w:rPr>
      <w:color w:val="0000FF"/>
      <w:u w:val="single"/>
      <w:lang w:val="zxx" w:eastAsia="zxx" w:bidi="zxx"/>
    </w:rPr>
  </w:style>
  <w:style w:type="character" w:styleId="Appleconvertedspace" w:customStyle="1">
    <w:name w:val="apple-converted-space"/>
    <w:rsid w:val="0010192c"/>
    <w:basedOn w:val="DefaultParagraphFont"/>
    <w:rPr/>
  </w:style>
  <w:style w:type="character" w:styleId="HTMLCite">
    <w:name w:val="HTML Cite"/>
    <w:uiPriority w:val="99"/>
    <w:semiHidden/>
    <w:unhideWhenUsed/>
    <w:rsid w:val="00666b12"/>
    <w:basedOn w:val="DefaultParagraphFont"/>
    <w:rPr>
      <w:i/>
      <w:iCs/>
    </w:rPr>
  </w:style>
  <w:style w:type="character" w:styleId="ListLabel1">
    <w:name w:val="ListLabel 1"/>
    <w:rPr>
      <w:sz w:val="20"/>
    </w:rPr>
  </w:style>
  <w:style w:type="character" w:styleId="NumberingSymbols">
    <w:name w:val="Numbering Symbols"/>
    <w:rPr/>
  </w:style>
  <w:style w:type="character" w:styleId="Bullets">
    <w:name w:val="Bullets"/>
    <w:rPr>
      <w:rFonts w:ascii="OpenSymbol" w:hAnsi="OpenSymbol" w:eastAsia="OpenSymbol" w:cs="OpenSymbol"/>
    </w:rPr>
  </w:style>
  <w:style w:type="character" w:styleId="VisitedInternetLink">
    <w:name w:val="Visited Internet Link"/>
    <w:rPr>
      <w:color w:val="80000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10192c"/>
    <w:basedOn w:val="Normal"/>
    <w:pPr>
      <w:spacing w:before="0" w:after="0"/>
      <w:ind w:left="720" w:right="0" w:hanging="0"/>
      <w:contextualSpacing/>
    </w:pPr>
    <w:rPr/>
  </w:style>
  <w:style w:type="numbering" w:styleId="NoList" w:default="1">
    <w:name w:val="No List"/>
    <w:uiPriority w:val="99"/>
    <w:semiHidden/>
    <w:unhideWhenUsed/>
  </w:style>
  <w:style w:type="numbering" w:styleId="Numbering1">
    <w:name w:val="Numbering 1"/>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cbi.nlm.nih.gov/pubmed/12937346" TargetMode="External"/><Relationship Id="rId3" Type="http://schemas.openxmlformats.org/officeDocument/2006/relationships/hyperlink" Target="http://www.ncbi.nlm.nih.gov/pubmed/12937346" TargetMode="External"/><Relationship Id="rId4" Type="http://schemas.openxmlformats.org/officeDocument/2006/relationships/hyperlink" Target="http://www.ncbi.nlm.nih.gov/pubmed/21567980" TargetMode="External"/><Relationship Id="rId5" Type="http://schemas.openxmlformats.org/officeDocument/2006/relationships/hyperlink" Target="http://www.ncbi.nlm.nih.gov/pmc/articles/PMC3105308/" TargetMode="External"/><Relationship Id="rId6" Type="http://schemas.openxmlformats.org/officeDocument/2006/relationships/hyperlink" Target="http://rubenportugues.net/valente_et_al.pdf" TargetMode="External"/><Relationship Id="rId7" Type="http://schemas.openxmlformats.org/officeDocument/2006/relationships/hyperlink" Target="http://www.ncbi.nlm.nih.gov/pubmed/13872148" TargetMode="External"/><Relationship Id="rId8" Type="http://schemas.openxmlformats.org/officeDocument/2006/relationships/hyperlink" Target="http://www.ncbi.nlm.nih.gov/pmc/articles/PMC3105308/" TargetMode="External"/><Relationship Id="rId9" Type="http://schemas.openxmlformats.org/officeDocument/2006/relationships/hyperlink" Target="http://csjarchive.cogsci.rpi.edu/2006v30/1/s15516709HCOG0000_50/s15516709HCOG0000_50.pdf" TargetMode="External"/><Relationship Id="rId10" Type="http://schemas.openxmlformats.org/officeDocument/2006/relationships/hyperlink" Target="http://www.ncbi.nlm.nih.gov/pmc/articles/PMC2967375/" TargetMode="External"/><Relationship Id="rId11" Type="http://schemas.openxmlformats.org/officeDocument/2006/relationships/hyperlink" Target="https://en.wikipedia.org/wiki/Andrey_Korotayev" TargetMode="External"/><Relationship Id="rId12" Type="http://schemas.openxmlformats.org/officeDocument/2006/relationships/hyperlink" Target="http://cliodynamics.ru/index.php?option=com_content&amp;task=view&amp;id=124&amp;Itemid=70" TargetMode="External"/><Relationship Id="rId13" Type="http://schemas.openxmlformats.org/officeDocument/2006/relationships/hyperlink" Target="https://en.wikipedia.org/wiki/International_Standard_Book_Number" TargetMode="External"/><Relationship Id="rId14" Type="http://schemas.openxmlformats.org/officeDocument/2006/relationships/hyperlink" Target="https://en.wikipedia.org/wiki/Special:BookSources/5-484-00414-4" TargetMode="Externa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216</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2017-01-11T13:27:00Z</dcterms:created>
  <dc:creator>Bath Dan</dc:creator>
  <dc:language>en-US</dc:language>
  <cp:lastModifiedBy>Bath Dan</cp:lastModifiedBy>
  <dcterms:modified xsi:type="dcterms:W3CDTF">2017-02-27T09:34:00Z</dcterms:modified>
  <cp:revision>5</cp:revision>
</cp:coreProperties>
</file>