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A9EE8A" w14:textId="77777777" w:rsidR="00685A2B" w:rsidRDefault="00000000">
      <w:pPr>
        <w:spacing w:before="1600"/>
        <w:jc w:val="center"/>
      </w:pPr>
      <w:r w:rsidRPr="001F4E22">
        <w:rPr>
          <w:b/>
          <w:color w:val="000000" w:themeColor="text1"/>
          <w:sz w:val="40"/>
        </w:rPr>
        <w:t>Auditoria de Logs de Autenticação SSH e Deteção Automatizada de Ataques de Força Bruta</w:t>
      </w:r>
    </w:p>
    <w:p w14:paraId="1E312CF4" w14:textId="1DA193B2" w:rsidR="00685A2B" w:rsidRDefault="001F4E22" w:rsidP="001F4E22">
      <w:pPr>
        <w:spacing w:before="480"/>
      </w:pPr>
      <w:r>
        <w:rPr>
          <w:sz w:val="28"/>
        </w:rPr>
        <w:t xml:space="preserve">                                Daniel Alves Batista</w:t>
      </w:r>
    </w:p>
    <w:p w14:paraId="5F965A0A" w14:textId="2E2F9C80" w:rsidR="00685A2B" w:rsidRDefault="001F4E22" w:rsidP="001F4E22">
      <w:r>
        <w:t xml:space="preserve">                                                        </w:t>
      </w:r>
      <w:r w:rsidR="00000000">
        <w:t xml:space="preserve">N.º </w:t>
      </w:r>
      <w:r>
        <w:t>20472</w:t>
      </w:r>
    </w:p>
    <w:p w14:paraId="260923D3" w14:textId="235A2051" w:rsidR="00685A2B" w:rsidRDefault="001F4E22" w:rsidP="001F4E22">
      <w:pPr>
        <w:spacing w:before="840"/>
      </w:pPr>
      <w:r>
        <w:rPr>
          <w:b/>
        </w:rPr>
        <w:t xml:space="preserve">                                                       </w:t>
      </w:r>
      <w:r w:rsidR="00000000" w:rsidRPr="001F1232">
        <w:rPr>
          <w:b/>
          <w:color w:val="000000" w:themeColor="text1"/>
        </w:rPr>
        <w:t>Orientação</w:t>
      </w:r>
    </w:p>
    <w:p w14:paraId="47B02899" w14:textId="2350FBF0" w:rsidR="00685A2B" w:rsidRDefault="001F4E22" w:rsidP="001F4E22">
      <w:r>
        <w:t xml:space="preserve">                                         Luís Gonzaga Martins Ferreira</w:t>
      </w:r>
    </w:p>
    <w:p w14:paraId="4C125258" w14:textId="39E09621" w:rsidR="00685A2B" w:rsidRDefault="001F4E22" w:rsidP="001F4E22">
      <w:pPr>
        <w:spacing w:before="1300"/>
      </w:pPr>
      <w:r>
        <w:t xml:space="preserve">                                                </w:t>
      </w:r>
      <w:r w:rsidR="00000000">
        <w:t>Ano letivo 2026/2027</w:t>
      </w:r>
    </w:p>
    <w:p w14:paraId="75EDCEDC" w14:textId="5E7F2ACE" w:rsidR="00685A2B" w:rsidRDefault="00000000">
      <w:pPr>
        <w:spacing w:before="900"/>
        <w:jc w:val="center"/>
      </w:pPr>
      <w:r>
        <w:t>Licenciatura em Engenharia de Sistemas Informáticos</w:t>
      </w:r>
      <w:r w:rsidR="005B71AB">
        <w:t xml:space="preserve"> (Pós-Laboral)</w:t>
      </w:r>
      <w:r>
        <w:br/>
        <w:t>Escola Superior de Tecnologia</w:t>
      </w:r>
      <w:r>
        <w:br/>
      </w:r>
      <w:r w:rsidR="001F4E22">
        <w:t>Universidade</w:t>
      </w:r>
      <w:r>
        <w:t xml:space="preserve"> Politécnic</w:t>
      </w:r>
      <w:r w:rsidR="001F4E22">
        <w:t>a</w:t>
      </w:r>
      <w:r>
        <w:t xml:space="preserve"> do Cávado e do Ave</w:t>
      </w:r>
    </w:p>
    <w:p w14:paraId="3F25C668" w14:textId="77777777" w:rsidR="00685A2B" w:rsidRDefault="00000000">
      <w:r>
        <w:br w:type="page"/>
      </w:r>
    </w:p>
    <w:p w14:paraId="1F44D977" w14:textId="122A0B73" w:rsidR="00685A2B" w:rsidRPr="001F4E22" w:rsidRDefault="001F4E22" w:rsidP="001F4E22">
      <w:pPr>
        <w:pStyle w:val="Heading1"/>
        <w:numPr>
          <w:ilvl w:val="0"/>
          <w:numId w:val="0"/>
        </w:numPr>
        <w:ind w:left="360"/>
        <w:rPr>
          <w:color w:val="000000" w:themeColor="text1"/>
        </w:rPr>
      </w:pPr>
      <w:r w:rsidRPr="001F4E22">
        <w:rPr>
          <w:color w:val="000000" w:themeColor="text1"/>
        </w:rPr>
        <w:lastRenderedPageBreak/>
        <w:t>1.</w:t>
      </w:r>
      <w:r w:rsidR="00000000" w:rsidRPr="001F4E22">
        <w:rPr>
          <w:color w:val="000000" w:themeColor="text1"/>
        </w:rPr>
        <w:t>Resumo</w:t>
      </w:r>
    </w:p>
    <w:p w14:paraId="2F5762F4" w14:textId="77777777" w:rsidR="00685A2B" w:rsidRDefault="00000000">
      <w:r>
        <w:t>Este trabalho apresenta uma solução de integração e análise de logs de autenticação SSH, com o objetivo de estruturar eventos, enriquecer endereços IP e identificar grupos com um volume elevado de registos. O processo ETL foi desenvolvido no KNIME, integrando logs textuais, dados de utilizadores em XML e informação externa obtida através do serviço IP-API. As transformações incluem parsing por expressões regulares, extração XPath, junções, regras, remoção de duplicados, agregação e filtragem. Os dados são persistidos em PostgreSQL, executado em Docker, e visualizados em dashboards Grafana ligados diretamente à base de dados. A regra de deteção seleciona grupos com pelo menos cinco registos por combinação de IP, país e ISP. Os resultados demonstram a integração entre ferramentas e a disponibilização de indicadores de auditoria, embora a regra atual não utilize uma janela temporal explícita e necessite de validação adicional para garantir que a contagem considera exclusivamente falhas.</w:t>
      </w:r>
    </w:p>
    <w:p w14:paraId="467BF15F" w14:textId="77777777" w:rsidR="00685A2B" w:rsidRDefault="00000000">
      <w:r>
        <w:t>Palavras-chave: ETL; KNIME; SSH; autenticação; força bruta; PostgreSQL; Grafana; integração de dados.</w:t>
      </w:r>
    </w:p>
    <w:p w14:paraId="5A33C9BB" w14:textId="6913A090" w:rsidR="00685A2B" w:rsidRPr="005B71AB" w:rsidRDefault="00000000" w:rsidP="005B71AB">
      <w:pPr>
        <w:ind w:firstLine="0"/>
      </w:pPr>
      <w:r w:rsidRPr="001F4E22">
        <w:rPr>
          <w:lang w:val="en-US"/>
        </w:rPr>
        <w:br w:type="page"/>
      </w:r>
    </w:p>
    <w:p w14:paraId="0FCF00E0" w14:textId="77777777" w:rsidR="00685A2B" w:rsidRDefault="00000000">
      <w:pPr>
        <w:pStyle w:val="Heading1"/>
      </w:pPr>
      <w:r>
        <w:lastRenderedPageBreak/>
        <w:t>Índice</w:t>
      </w:r>
    </w:p>
    <w:p w14:paraId="150B7756" w14:textId="77777777" w:rsidR="00685A2B" w:rsidRDefault="00000000">
      <w:r>
        <w:t>1. Introdução</w:t>
      </w:r>
    </w:p>
    <w:p w14:paraId="73EDDF80" w14:textId="77777777" w:rsidR="00685A2B" w:rsidRDefault="00000000">
      <w:r>
        <w:t>2. Problema</w:t>
      </w:r>
    </w:p>
    <w:p w14:paraId="07A439B9" w14:textId="77777777" w:rsidR="00685A2B" w:rsidRDefault="00000000">
      <w:r>
        <w:t>3. Estratégia utilizada</w:t>
      </w:r>
    </w:p>
    <w:p w14:paraId="42472A3A" w14:textId="77777777" w:rsidR="00685A2B" w:rsidRDefault="00000000">
      <w:r>
        <w:t>4. Transformações</w:t>
      </w:r>
    </w:p>
    <w:p w14:paraId="3F2BB981" w14:textId="77777777" w:rsidR="00685A2B" w:rsidRDefault="00000000">
      <w:r>
        <w:t>5. Jobs, persistência e visualização</w:t>
      </w:r>
    </w:p>
    <w:p w14:paraId="0B7859D1" w14:textId="77777777" w:rsidR="00685A2B" w:rsidRDefault="00000000">
      <w:r>
        <w:t>6. Testes e resultados</w:t>
      </w:r>
    </w:p>
    <w:p w14:paraId="231A5323" w14:textId="77777777" w:rsidR="00685A2B" w:rsidRDefault="00000000">
      <w:r>
        <w:t>7. Conclusão e trabalhos futuros</w:t>
      </w:r>
    </w:p>
    <w:p w14:paraId="43F41FA2" w14:textId="77777777" w:rsidR="00685A2B" w:rsidRDefault="00000000">
      <w:r>
        <w:t>8. Referências bibliográficas</w:t>
      </w:r>
    </w:p>
    <w:p w14:paraId="076E735B" w14:textId="77777777" w:rsidR="00685A2B" w:rsidRDefault="00000000">
      <w:r>
        <w:t>Anexo A — Demonstração em vídeo</w:t>
      </w:r>
    </w:p>
    <w:p w14:paraId="334C13F2" w14:textId="77777777" w:rsidR="00685A2B" w:rsidRDefault="00000000">
      <w:r>
        <w:br w:type="page"/>
      </w:r>
    </w:p>
    <w:p w14:paraId="08A5F300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lastRenderedPageBreak/>
        <w:t>1. Introdução</w:t>
      </w:r>
    </w:p>
    <w:p w14:paraId="6167F06F" w14:textId="77777777" w:rsidR="00685A2B" w:rsidRDefault="00000000">
      <w:r>
        <w:t>A segurança dos sistemas informáticos depende, entre outros fatores, da capacidade de registar, analisar e interpretar eventos de autenticação. Os serviços SSH (Secure Shell) permitem o acesso remoto a sistemas e, por isso, os respetivos registos podem revelar tentativas de acesso indevidas, erros de autenticação e padrões que justifiquem investigação.</w:t>
      </w:r>
    </w:p>
    <w:p w14:paraId="6B7FBD52" w14:textId="77777777" w:rsidR="00685A2B" w:rsidRDefault="00000000">
      <w:r>
        <w:t>Este trabalho, desenvolvido no âmbito da unidade curricular Integração de Sistemas de Informação, explora um processo de integração e transformação de dados aplicado à auditoria de logs SSH. A solução utiliza o KNIME para preparar e analisar os dados, o PostgreSQL para persistência e o Grafana para visualização dos resultados. O processo inclui ainda o enriquecimento de endereços IP através do serviço externo IP-API.</w:t>
      </w:r>
    </w:p>
    <w:p w14:paraId="1E8EDB51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1.1. Objetivos</w:t>
      </w:r>
    </w:p>
    <w:p w14:paraId="698074E3" w14:textId="77777777" w:rsidR="00685A2B" w:rsidRDefault="00000000">
      <w:pPr>
        <w:ind w:left="283"/>
      </w:pPr>
      <w:r>
        <w:t>•  Recolher e interpretar registos de autenticação SSH.</w:t>
      </w:r>
    </w:p>
    <w:p w14:paraId="001106BB" w14:textId="77777777" w:rsidR="00685A2B" w:rsidRDefault="00000000">
      <w:pPr>
        <w:ind w:left="283"/>
      </w:pPr>
      <w:r>
        <w:t>•  Integrar dados provenientes de ficheiros de texto e XML.</w:t>
      </w:r>
    </w:p>
    <w:p w14:paraId="283BD461" w14:textId="77777777" w:rsidR="00685A2B" w:rsidRDefault="00000000">
      <w:pPr>
        <w:ind w:left="283"/>
      </w:pPr>
      <w:r>
        <w:t>•  Aplicar expressões regulares, junções, regras, remoção de duplicados, agregações e filtros.</w:t>
      </w:r>
    </w:p>
    <w:p w14:paraId="1A4F59AB" w14:textId="77777777" w:rsidR="00685A2B" w:rsidRDefault="00000000">
      <w:pPr>
        <w:ind w:left="283"/>
      </w:pPr>
      <w:r>
        <w:t>•  Enriquecer eventos com informação geográfica e de ISP obtida através de uma API HTTP.</w:t>
      </w:r>
    </w:p>
    <w:p w14:paraId="712FC0B9" w14:textId="77777777" w:rsidR="00685A2B" w:rsidRDefault="00000000">
      <w:pPr>
        <w:ind w:left="283"/>
      </w:pPr>
      <w:r>
        <w:t>•  Persistir os eventos processados em PostgreSQL e apresentar indicadores no Grafana.</w:t>
      </w:r>
    </w:p>
    <w:p w14:paraId="50015D9C" w14:textId="77777777" w:rsidR="00685A2B" w:rsidRDefault="00000000">
      <w:pPr>
        <w:ind w:left="283"/>
      </w:pPr>
      <w:r>
        <w:t>•  Identificar grupos de eventos que atinjam um limiar de contagem definido como possível sinal de atividade suspeita.</w:t>
      </w:r>
    </w:p>
    <w:p w14:paraId="5F7112CB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1.2. Contexto</w:t>
      </w:r>
    </w:p>
    <w:p w14:paraId="0FEAEFE2" w14:textId="77777777" w:rsidR="00685A2B" w:rsidRDefault="00000000">
      <w:r>
        <w:t>O enunciado do Trabalho Prático I de ISI centra-se na aplicação de processos ETL (Extract, Transform, Load), na integração de fontes heterogéneas e na utilização de ferramentas de transformação, bases de dados, APIs e dashboards. O projeto enquadra-se neste objetivo ao transformar registos de autenticação em dados estruturados, enriquecidos e consultáveis.</w:t>
      </w:r>
    </w:p>
    <w:p w14:paraId="4301676D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1.3. Estrutura do documento</w:t>
      </w:r>
    </w:p>
    <w:p w14:paraId="27E98E86" w14:textId="77777777" w:rsidR="00685A2B" w:rsidRDefault="00000000">
      <w:r>
        <w:t>O capítulo 2 descreve o problema. O capítulo 3 apresenta a estratégia e a arquitetura. O capítulo 4 documenta as transformações ETL e o capítulo 5 descreve a persistência, os dashboards e a execução. O capítulo 6 regista os testes e limitações, seguindo-se a conclusão, os trabalhos futuros e as referências.</w:t>
      </w:r>
    </w:p>
    <w:p w14:paraId="460D80EC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t>2. Problema</w:t>
      </w:r>
    </w:p>
    <w:p w14:paraId="0F17BA33" w14:textId="77777777" w:rsidR="00685A2B" w:rsidRDefault="00000000">
      <w:r>
        <w:t>Os logs de autenticação são registos operacionais que podem conter timestamps, nome do servidor, estado da autenticação, utilizador, endereço IP e porta de origem. A leitura direta destes registos é pouco prática quando se pretende comparar eventos, obter estatísticas ou identificar origens com muitas tentativas.</w:t>
      </w:r>
    </w:p>
    <w:p w14:paraId="1C4EEF8D" w14:textId="77777777" w:rsidR="00685A2B" w:rsidRDefault="00000000">
      <w:r>
        <w:t>O problema abordado consiste em transformar estes registos em informação estruturada, associá-los a dados adicionais sobre utilizadores e endereços IP, identificar grupos com contagens elevadas e disponibilizar os resultados para análise visual.</w:t>
      </w:r>
    </w:p>
    <w:p w14:paraId="1B48B078" w14:textId="77777777" w:rsidR="00685A2B" w:rsidRDefault="00000000">
      <w:r>
        <w:lastRenderedPageBreak/>
        <w:t>A deteção implementada utiliza um limiar inicial: os eventos são agrupados por endereço IP, país e ISP, sendo selecionados os grupos cuja contagem de registos na coluna auth_status seja igual ou superior a cinco. Este critério assinala grupos que merecem análise, mas não constitui, isoladamente, prova de um ataque de força bruta.</w:t>
      </w:r>
    </w:p>
    <w:p w14:paraId="4EA6A091" w14:textId="77777777" w:rsidR="00685A2B" w:rsidRDefault="00000000">
      <w:r>
        <w:t>Importa salientar que a configuração documentada não inclui uma janela temporal no agrupamento. Além disso, para garantir que o limiar representa falhas de autenticação, os dados de entrada devem estar filtrados para eventos falhados antes da agregação. Estas condições devem ser consideradas na interpretação dos resultados.</w:t>
      </w:r>
    </w:p>
    <w:p w14:paraId="696AC49F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t>3. Estratégia utilizada</w:t>
      </w:r>
    </w:p>
    <w:p w14:paraId="400601D2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3.1. Tecnologias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6"/>
        <w:gridCol w:w="4446"/>
      </w:tblGrid>
      <w:tr w:rsidR="00685A2B" w14:paraId="62A7AACC" w14:textId="77777777">
        <w:tc>
          <w:tcPr>
            <w:tcW w:w="4451" w:type="dxa"/>
          </w:tcPr>
          <w:p w14:paraId="4180AB02" w14:textId="77777777" w:rsidR="00685A2B" w:rsidRDefault="00000000">
            <w:r>
              <w:t>Tecnologia</w:t>
            </w:r>
          </w:p>
        </w:tc>
        <w:tc>
          <w:tcPr>
            <w:tcW w:w="4451" w:type="dxa"/>
          </w:tcPr>
          <w:p w14:paraId="002D3DC7" w14:textId="77777777" w:rsidR="00685A2B" w:rsidRDefault="00000000">
            <w:r>
              <w:t>Papel no projeto</w:t>
            </w:r>
          </w:p>
        </w:tc>
      </w:tr>
      <w:tr w:rsidR="00685A2B" w14:paraId="5FB7D9DE" w14:textId="77777777">
        <w:tc>
          <w:tcPr>
            <w:tcW w:w="4451" w:type="dxa"/>
          </w:tcPr>
          <w:p w14:paraId="55503418" w14:textId="77777777" w:rsidR="00685A2B" w:rsidRDefault="00000000">
            <w:r>
              <w:t>KNIME</w:t>
            </w:r>
          </w:p>
        </w:tc>
        <w:tc>
          <w:tcPr>
            <w:tcW w:w="4451" w:type="dxa"/>
          </w:tcPr>
          <w:p w14:paraId="00EB58BC" w14:textId="77777777" w:rsidR="00685A2B" w:rsidRDefault="00000000">
            <w:r>
              <w:t>Leitura, preparação, integração, transformação, agregação e exportação de dados.</w:t>
            </w:r>
          </w:p>
        </w:tc>
      </w:tr>
      <w:tr w:rsidR="00685A2B" w14:paraId="5399B45B" w14:textId="77777777">
        <w:tc>
          <w:tcPr>
            <w:tcW w:w="4451" w:type="dxa"/>
          </w:tcPr>
          <w:p w14:paraId="2B2E14FC" w14:textId="77777777" w:rsidR="00685A2B" w:rsidRDefault="00000000">
            <w:r>
              <w:t>PostgreSQL</w:t>
            </w:r>
          </w:p>
        </w:tc>
        <w:tc>
          <w:tcPr>
            <w:tcW w:w="4451" w:type="dxa"/>
          </w:tcPr>
          <w:p w14:paraId="21E7C5BD" w14:textId="77777777" w:rsidR="00685A2B" w:rsidRDefault="00000000">
            <w:r>
              <w:t>Persistência dos eventos e estrutura de dados de auditoria.</w:t>
            </w:r>
          </w:p>
        </w:tc>
      </w:tr>
      <w:tr w:rsidR="00685A2B" w14:paraId="325BB65D" w14:textId="77777777">
        <w:tc>
          <w:tcPr>
            <w:tcW w:w="4451" w:type="dxa"/>
          </w:tcPr>
          <w:p w14:paraId="4AA8F8F3" w14:textId="77777777" w:rsidR="00685A2B" w:rsidRDefault="00000000">
            <w:r>
              <w:t>Docker Compose</w:t>
            </w:r>
          </w:p>
        </w:tc>
        <w:tc>
          <w:tcPr>
            <w:tcW w:w="4451" w:type="dxa"/>
          </w:tcPr>
          <w:p w14:paraId="4F635FB6" w14:textId="77777777" w:rsidR="00685A2B" w:rsidRDefault="00000000">
            <w:r>
              <w:t>Execução dos serviços PostgreSQL e Grafana em contentores.</w:t>
            </w:r>
          </w:p>
        </w:tc>
      </w:tr>
      <w:tr w:rsidR="00685A2B" w14:paraId="0B6AF6E8" w14:textId="77777777">
        <w:tc>
          <w:tcPr>
            <w:tcW w:w="4451" w:type="dxa"/>
          </w:tcPr>
          <w:p w14:paraId="036FE12F" w14:textId="77777777" w:rsidR="00685A2B" w:rsidRDefault="00000000">
            <w:r>
              <w:t>Grafana</w:t>
            </w:r>
          </w:p>
        </w:tc>
        <w:tc>
          <w:tcPr>
            <w:tcW w:w="4451" w:type="dxa"/>
          </w:tcPr>
          <w:p w14:paraId="761E81EA" w14:textId="77777777" w:rsidR="00685A2B" w:rsidRDefault="00000000">
            <w:r>
              <w:t>Consultas SQL e visualização dos indicadores de autenticação.</w:t>
            </w:r>
          </w:p>
        </w:tc>
      </w:tr>
      <w:tr w:rsidR="00685A2B" w14:paraId="64BAD411" w14:textId="77777777">
        <w:tc>
          <w:tcPr>
            <w:tcW w:w="4451" w:type="dxa"/>
          </w:tcPr>
          <w:p w14:paraId="218ED05D" w14:textId="77777777" w:rsidR="00685A2B" w:rsidRDefault="00000000">
            <w:r>
              <w:t>IP-API</w:t>
            </w:r>
          </w:p>
        </w:tc>
        <w:tc>
          <w:tcPr>
            <w:tcW w:w="4451" w:type="dxa"/>
          </w:tcPr>
          <w:p w14:paraId="7EDC4E75" w14:textId="77777777" w:rsidR="00685A2B" w:rsidRDefault="00000000">
            <w:r>
              <w:t>Enriquecimento dos endereços IP com país, cidade e ISP.</w:t>
            </w:r>
          </w:p>
        </w:tc>
      </w:tr>
      <w:tr w:rsidR="00685A2B" w14:paraId="70F1EA3B" w14:textId="77777777">
        <w:tc>
          <w:tcPr>
            <w:tcW w:w="4451" w:type="dxa"/>
          </w:tcPr>
          <w:p w14:paraId="6E6669DD" w14:textId="77777777" w:rsidR="00685A2B" w:rsidRDefault="00000000">
            <w:r>
              <w:t>GitHub</w:t>
            </w:r>
          </w:p>
        </w:tc>
        <w:tc>
          <w:tcPr>
            <w:tcW w:w="4451" w:type="dxa"/>
          </w:tcPr>
          <w:p w14:paraId="69F82D62" w14:textId="77777777" w:rsidR="00685A2B" w:rsidRDefault="00000000">
            <w:r>
              <w:t>Versionamento e organização dos ficheiros do projeto.</w:t>
            </w:r>
          </w:p>
        </w:tc>
      </w:tr>
    </w:tbl>
    <w:p w14:paraId="0BB3CD47" w14:textId="77777777" w:rsidR="00685A2B" w:rsidRDefault="00685A2B"/>
    <w:p w14:paraId="0BD6C93B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3.2. Arquitetura</w:t>
      </w:r>
    </w:p>
    <w:p w14:paraId="49F284E5" w14:textId="77777777" w:rsidR="00685A2B" w:rsidRDefault="00000000">
      <w:r>
        <w:t>O fluxo principal implementado pode ser resumido como: ficheiros de entrada → workflow KNIME → enriquecimento por API externa → deteção por agregação e filtragem → PostgreSQL e exportação JSON → dashboards Grafana. O Grafana consulta diretamente o PostgreSQL, sem uma API REST intermédia.</w:t>
      </w:r>
    </w:p>
    <w:p w14:paraId="77E12253" w14:textId="77777777" w:rsidR="00685A2B" w:rsidRDefault="00000000">
      <w:r>
        <w:t>O Node-RED e uma API REST própria não foram implementados nesta versão. São, por isso, considerados extensões possíveis e não componentes funcionais da solução entregue.</w:t>
      </w:r>
    </w:p>
    <w:p w14:paraId="12EEC1E4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t>4. Transformações</w:t>
      </w:r>
    </w:p>
    <w:p w14:paraId="6C910558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4.1. Recolha e preparação</w:t>
      </w:r>
    </w:p>
    <w:p w14:paraId="1286DFAE" w14:textId="77777777" w:rsidR="00685A2B" w:rsidRDefault="00000000">
      <w:r>
        <w:t>O nó Line Reader lê os logs de autenticação. O String Splitter (Regex) separa o conteúdo textual em campos relevantes através de expressões regulares, e o Column Renamer uniformiza os nomes das colunas. Esta sequência converte linhas de texto em registos tabulares utilizáveis nas etapas seguintes.</w:t>
      </w:r>
    </w:p>
    <w:p w14:paraId="5B3FE077" w14:textId="77777777" w:rsidR="00685A2B" w:rsidRDefault="00000000">
      <w:r>
        <w:lastRenderedPageBreak/>
        <w:t>Em paralelo, o XML Reader importa informação de utilizadores e o nó XPath extrai os elementos necessários. Um Joiner cruza os dados de autenticação com a informação de utilizadores, permitindo enriquecer os eventos com atributos adicionais.</w:t>
      </w:r>
    </w:p>
    <w:p w14:paraId="3C930F4B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4.2. Regras e limpeza</w:t>
      </w:r>
    </w:p>
    <w:p w14:paraId="70BE96D2" w14:textId="77777777" w:rsidR="00685A2B" w:rsidRDefault="00000000">
      <w:r>
        <w:t>O Rule Engine aplica regras de negócio aos registos. O Duplicate Row Filter remove linhas duplicadas segundo a configuração do nó. A configuração detalhada das regras do Rule Engine não foi fornecida, pelo que este relatório não especifica as condições concretas utilizadas.</w:t>
      </w:r>
    </w:p>
    <w:p w14:paraId="5AACE9AD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4.3. Enriquecimento através da API IP-API</w:t>
      </w:r>
    </w:p>
    <w:p w14:paraId="368D8790" w14:textId="77777777" w:rsidR="00685A2B" w:rsidRDefault="00000000">
      <w:r>
        <w:t>O nó String Manipulation constrói um URL com base no valor da coluna source_ip, solicitando os campos status, country, city e isp ao serviço IP-API. O nó GET Request efetua o pedido HTTP e o JSON Path processa a resposta na coluna body.</w:t>
      </w:r>
    </w:p>
    <w:p w14:paraId="6E96607F" w14:textId="77777777" w:rsidR="00685A2B" w:rsidRDefault="00000000">
      <w:r>
        <w:t>Foram configuradas as expressões JSONPath $.country, $.city e $.isp, que extraem o país, a cidade e o fornecedor de serviços de Internet. O campo status é visível na resposta de exemplo, mas não está incluído entre as três colunas extraídas. A geolocalização por IP é aproximada e não deve ser interpretada como identificação exata da localização física.</w:t>
      </w:r>
    </w:p>
    <w:p w14:paraId="1A00E964" w14:textId="77777777" w:rsidR="00685A2B" w:rsidRDefault="00000000">
      <w:r>
        <w:t>A expressão observada utiliza HTTP, pelo que os pedidos não são cifrados em trânsito. Numa evolução do projeto, deve ser avalizada a utilização de HTTPS quando suportada pelo serviço.</w:t>
      </w:r>
    </w:p>
    <w:p w14:paraId="3006618B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4.4. Deteção de grupos suspeitos</w:t>
      </w:r>
    </w:p>
    <w:p w14:paraId="7FD8DE85" w14:textId="77777777" w:rsidR="00685A2B" w:rsidRDefault="00000000">
      <w:r>
        <w:t>Depois do enriquecimento, um Joiner integra os atributos adicionais nos eventos. O nó GroupBy agrupa os registos por source_ip, country e isp. A configuração do Row Filter seleciona os grupos em que Count(auth_status) é maior ou igual a 5.</w:t>
      </w:r>
    </w:p>
    <w:p w14:paraId="3DDD8A07" w14:textId="77777777" w:rsidR="00685A2B" w:rsidRDefault="00000000">
      <w:r>
        <w:t>O resultado é encaminhado para os nós Table to JSON e JSON Writer, que produzem uma representação JSON dos grupos selecionados. O limiar constitui uma regra simples e interpretável, mas a precisão da deteção depende de a contagem refletir apenas falhas e de ser considerada uma janela temporal adequada.</w:t>
      </w:r>
    </w:p>
    <w:p w14:paraId="7705162A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4.5. Representação do workflow</w:t>
      </w:r>
    </w:p>
    <w:p w14:paraId="1930517B" w14:textId="77777777" w:rsidR="00685A2B" w:rsidRDefault="00000000">
      <w:r>
        <w:t>A Figura 1 apresenta a vista geral do workflow KNIME, incluindo a leitura dos logs, a importação de XML, o enriquecimento via API, a deteção por agregação e a persistência dos dados.</w:t>
      </w:r>
    </w:p>
    <w:p w14:paraId="6DB297B3" w14:textId="77777777" w:rsidR="00685A2B" w:rsidRDefault="00000000">
      <w:pPr>
        <w:jc w:val="center"/>
      </w:pPr>
      <w:r>
        <w:rPr>
          <w:noProof/>
        </w:rPr>
        <w:drawing>
          <wp:inline distT="0" distB="0" distL="0" distR="0" wp14:anchorId="6DEEDE18" wp14:editId="7FCB352D">
            <wp:extent cx="5760000" cy="14709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7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29AD2" w14:textId="77777777" w:rsidR="00685A2B" w:rsidRDefault="00000000">
      <w:pPr>
        <w:jc w:val="center"/>
      </w:pPr>
      <w:r>
        <w:t>Figura 1 — Vista geral do workflow de integração e deteção desenvolvido no KNIME.</w:t>
      </w:r>
    </w:p>
    <w:p w14:paraId="02AA609B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lastRenderedPageBreak/>
        <w:t>5. Jobs, persistência e visualização</w:t>
      </w:r>
    </w:p>
    <w:p w14:paraId="5D48C697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5.1. PostgreSQL e Docker Compose</w:t>
      </w:r>
    </w:p>
    <w:p w14:paraId="4BF7761C" w14:textId="77777777" w:rsidR="00685A2B" w:rsidRDefault="00000000">
      <w:r>
        <w:t>A infraestrutura utiliza Docker Compose para executar PostgreSQL 16 Alpine e Grafana. O ficheiro init.sql define as tabelas login_events e blocked_ips. A tabela login_events inclui campos para timestamp, servidor, estado de autenticação, utilizador, IP e porta de origem, informação geográfica e indicador de utilizador autorizado. A tabela blocked_ips foi definida para guardar informação agregada sobre IPs identificados.</w:t>
      </w:r>
    </w:p>
    <w:p w14:paraId="6F7AE630" w14:textId="77777777" w:rsidR="00685A2B" w:rsidRDefault="00000000">
      <w:r>
        <w:t>O DB Row Inserter está configurado para inserir dados na tabela public.login_events. Na configuração apresentada, as colunas Date e valid_user são excluídas da escrita, enquanto campos como raw_timestamp, server_hostname, auth_status, username, source_ip e source_port são incluídos. A opção de adicionar uma coluna de estado permite devolver ao workflow informação sobre o resultado da inserção.</w:t>
      </w:r>
    </w:p>
    <w:p w14:paraId="58DDAD5B" w14:textId="77777777" w:rsidR="00685A2B" w:rsidRDefault="00000000">
      <w:r>
        <w:t>A repetição da execução com o mesmo conjunto de entrada pode voltar a inserir os mesmos eventos, caso não exista uma chave de deduplicação ou uma estratégia de atualização. Este comportamento deve ser tido em conta ao interpretar os totais do dashboard.</w:t>
      </w:r>
    </w:p>
    <w:p w14:paraId="4B5067E1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5.2. Dashboards Grafana</w:t>
      </w:r>
    </w:p>
    <w:p w14:paraId="66AE0B30" w14:textId="77777777" w:rsidR="00685A2B" w:rsidRDefault="00000000">
      <w:r>
        <w:t>O Grafana está ligado diretamente ao PostgreSQL através de uma fonte de dados configurada para a base de dados. O painel Tentativas Falhadas utiliza uma consulta SQL sobre login_events, filtra auth_status = 'Failed' e agrupa os registos por minuto através de date_trunc. Os restantes painéis apresentam a distribuição por país e a comparação entre tentativas falhadas e aceites por utilizador.</w:t>
      </w:r>
    </w:p>
    <w:p w14:paraId="3DF01238" w14:textId="77777777" w:rsidR="00685A2B" w:rsidRDefault="00000000">
      <w:r>
        <w:t>Na captura apresentada, o painel Tentativas Falhadas mostra 744. Foi indicado que cada injeção de dados acrescenta 186 tentativas e que o valor observado corresponde a quatro injeções acumuladas (4 × 186 = 744). Assim, o número representa o acumulado armazenado na base de dados, e não necessariamente o resultado de uma única execução.</w:t>
      </w:r>
    </w:p>
    <w:p w14:paraId="3DF7C9C2" w14:textId="77777777" w:rsidR="00685A2B" w:rsidRPr="005B71AB" w:rsidRDefault="00000000">
      <w:pPr>
        <w:pStyle w:val="Heading2"/>
        <w:rPr>
          <w:color w:val="000000" w:themeColor="text1"/>
        </w:rPr>
      </w:pPr>
      <w:r w:rsidRPr="005B71AB">
        <w:rPr>
          <w:color w:val="000000" w:themeColor="text1"/>
        </w:rPr>
        <w:t>5.3. Execução</w:t>
      </w:r>
    </w:p>
    <w:p w14:paraId="6603E207" w14:textId="77777777" w:rsidR="00685A2B" w:rsidRDefault="00000000">
      <w:pPr>
        <w:ind w:left="283"/>
      </w:pPr>
      <w:r>
        <w:t>•  Iniciar os serviços a partir da pasta do projeto com docker compose up -d.</w:t>
      </w:r>
    </w:p>
    <w:p w14:paraId="3E031C7B" w14:textId="77777777" w:rsidR="00685A2B" w:rsidRDefault="00000000">
      <w:pPr>
        <w:ind w:left="283"/>
      </w:pPr>
      <w:r>
        <w:t>•  Confirmar o estado dos serviços com docker compose ps.</w:t>
      </w:r>
    </w:p>
    <w:p w14:paraId="186870C7" w14:textId="77777777" w:rsidR="00685A2B" w:rsidRDefault="00000000">
      <w:pPr>
        <w:ind w:left="283"/>
      </w:pPr>
      <w:r>
        <w:t>•  Executar o workflow KNIME para importar, transformar e inserir os eventos.</w:t>
      </w:r>
    </w:p>
    <w:p w14:paraId="79BB50D1" w14:textId="77777777" w:rsidR="00685A2B" w:rsidRDefault="00000000">
      <w:pPr>
        <w:ind w:left="283"/>
      </w:pPr>
      <w:r>
        <w:t>•  Abrir o Grafana em http://localhost:3000 e consultar os dashboards, utilizando as credenciais locais configuradas no Docker Compose.</w:t>
      </w:r>
    </w:p>
    <w:p w14:paraId="2218498E" w14:textId="77777777" w:rsidR="00685A2B" w:rsidRDefault="00000000">
      <w:r>
        <w:t>As credenciais de desenvolvimento não devem ser reutilizadas em ambientes expostos à Internet. Antes de qualquer utilização fora de um ambiente local, devem ser alteradas as palavras-passe e restringidas as portas e permissões.</w:t>
      </w:r>
    </w:p>
    <w:p w14:paraId="18CA8828" w14:textId="77777777" w:rsidR="00685A2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1C4064B" wp14:editId="48324A54">
            <wp:extent cx="5760000" cy="27703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5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7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2985" w14:textId="77777777" w:rsidR="00685A2B" w:rsidRDefault="00000000">
      <w:pPr>
        <w:jc w:val="center"/>
      </w:pPr>
      <w:r>
        <w:t>Figura 2 — Dashboard Grafana com indicadores de autenticação.</w:t>
      </w:r>
    </w:p>
    <w:p w14:paraId="2F0395A1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t>6. Testes e resultados</w:t>
      </w:r>
    </w:p>
    <w:p w14:paraId="379011D0" w14:textId="77777777" w:rsidR="00685A2B" w:rsidRDefault="00000000">
      <w:r>
        <w:t>A validação observada inclui a execução do workflow, a inserção de eventos no PostgreSQL e a visualização dos dados através do Grafana. A consulta apresentada para o painel de tentativas falhadas filtra os registos com auth_status igual a Failed e agrupa-os por minuto.</w:t>
      </w:r>
    </w:p>
    <w:p w14:paraId="2D08279D" w14:textId="77777777" w:rsidR="00685A2B" w:rsidRDefault="00000000">
      <w:r>
        <w:t>O valor de 744 tentativas falhadas é consistente com quatro injeções de 186 eventos cada. Esta relação demonstra a acumulação de registos entre execuções. Para tornar os testes reproduzíveis, recomenda-se documentar o conjunto de entrada, o número de eventos esperado, o número de registos inseridos e os resultados da deteção.</w:t>
      </w:r>
    </w:p>
    <w:p w14:paraId="2CE47DB7" w14:textId="77777777" w:rsidR="00685A2B" w:rsidRDefault="00000000">
      <w:r>
        <w:t>Não foram fornecidas métricas de precisão, recall ou uma avaliação com dados rotulados. Por esse motivo, não se afirma que o mecanismo classifique corretamente todos os ataques. O limiar de cinco registos deve ser entendido como uma regra inicial para selecionar grupos para inspeção.</w:t>
      </w:r>
    </w:p>
    <w:p w14:paraId="54B79A7D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t>7. Conclusão e trabalhos futuros</w:t>
      </w:r>
    </w:p>
    <w:p w14:paraId="22AE926A" w14:textId="77777777" w:rsidR="00685A2B" w:rsidRDefault="00000000">
      <w:r>
        <w:t>O projeto demonstra um processo de integração de dados aplicado à auditoria de autenticações SSH. O workflow KNIME transforma logs textuais, importa dados XML, cruza fontes, enriquece os endereços IP com informação externa, agrega os eventos e exporta os grupos selecionados em JSON. O PostgreSQL assegura a persistência e o Grafana disponibiliza uma visão analítica dos registos.</w:t>
      </w:r>
    </w:p>
    <w:p w14:paraId="1E33C0A8" w14:textId="77777777" w:rsidR="00685A2B" w:rsidRDefault="00000000">
      <w:r>
        <w:t>A solução concretiza operações relevantes de ETL, incluindo parsing por Regex, extração XPath, junções, remoção de duplicados, regras, agregações, filtragem e integração com uma API externa. A principal limitação é a simplicidade da regra de deteção: a configuração documentada agrupa por IP, país e ISP e aplica um limiar de cinco registos, sem janela temporal explícita.</w:t>
      </w:r>
    </w:p>
    <w:p w14:paraId="42729FD5" w14:textId="77777777" w:rsidR="00685A2B" w:rsidRDefault="00000000">
      <w:r>
        <w:t xml:space="preserve">Como trabalho futuro, propõe-se filtrar explicitamente as falhas antes da agregação, introduzir janelas temporais, evitar duplicações entre execuções, tratar erros e limites da API externa, extrair e validar o estado da resposta IP-API, e acrescentar testes com conjuntos de </w:t>
      </w:r>
      <w:r>
        <w:lastRenderedPageBreak/>
        <w:t>dados controlados. A implementação de uma API REST própria e a integração com Node-RED para notificações automáticas também poderão ampliar a solução.</w:t>
      </w:r>
    </w:p>
    <w:p w14:paraId="426A8E10" w14:textId="77777777" w:rsidR="00685A2B" w:rsidRDefault="00000000">
      <w:r>
        <w:t>Conclui-se que a arquitetura desenvolvida permite demonstrar um ciclo ETL funcional e a sua utilização para monitorização de eventos de autenticação, mantendo identificadas as limitações que deverão ser abordadas numa evolução futura.</w:t>
      </w:r>
    </w:p>
    <w:p w14:paraId="0CD8D3EE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t>8. Referências bibliográficas</w:t>
      </w:r>
    </w:p>
    <w:p w14:paraId="75471C50" w14:textId="77777777" w:rsidR="00685A2B" w:rsidRPr="001F4E22" w:rsidRDefault="00000000">
      <w:pPr>
        <w:ind w:left="397"/>
        <w:rPr>
          <w:lang w:val="en-US"/>
        </w:rPr>
      </w:pPr>
      <w:r w:rsidRPr="001F4E22">
        <w:rPr>
          <w:lang w:val="en-US"/>
        </w:rPr>
        <w:t>IP-API. (</w:t>
      </w:r>
      <w:proofErr w:type="spellStart"/>
      <w:r w:rsidRPr="001F4E22">
        <w:rPr>
          <w:lang w:val="en-US"/>
        </w:rPr>
        <w:t>s.d.</w:t>
      </w:r>
      <w:proofErr w:type="spellEnd"/>
      <w:r w:rsidRPr="001F4E22">
        <w:rPr>
          <w:lang w:val="en-US"/>
        </w:rPr>
        <w:t>). IP-API Geolocation API. https://ip-api.com/docs</w:t>
      </w:r>
    </w:p>
    <w:p w14:paraId="44161482" w14:textId="77777777" w:rsidR="00685A2B" w:rsidRPr="001F4E22" w:rsidRDefault="00000000">
      <w:pPr>
        <w:ind w:left="397"/>
        <w:rPr>
          <w:lang w:val="en-US"/>
        </w:rPr>
      </w:pPr>
      <w:r w:rsidRPr="001F4E22">
        <w:rPr>
          <w:lang w:val="en-US"/>
        </w:rPr>
        <w:t>KNIME. (</w:t>
      </w:r>
      <w:proofErr w:type="spellStart"/>
      <w:r w:rsidRPr="001F4E22">
        <w:rPr>
          <w:lang w:val="en-US"/>
        </w:rPr>
        <w:t>s.d.</w:t>
      </w:r>
      <w:proofErr w:type="spellEnd"/>
      <w:r w:rsidRPr="001F4E22">
        <w:rPr>
          <w:lang w:val="en-US"/>
        </w:rPr>
        <w:t>). KNIME Analytics Platform Documentation. https://docs.knime.com/</w:t>
      </w:r>
    </w:p>
    <w:p w14:paraId="1E1DAB33" w14:textId="77777777" w:rsidR="00685A2B" w:rsidRDefault="00000000">
      <w:pPr>
        <w:ind w:left="397"/>
      </w:pPr>
      <w:proofErr w:type="spellStart"/>
      <w:r>
        <w:t>Grafana</w:t>
      </w:r>
      <w:proofErr w:type="spellEnd"/>
      <w:r>
        <w:t xml:space="preserve"> </w:t>
      </w:r>
      <w:proofErr w:type="spellStart"/>
      <w:r>
        <w:t>Labs</w:t>
      </w:r>
      <w:proofErr w:type="spellEnd"/>
      <w:r>
        <w:t>. (s.d.). Grafana documentation. https://grafana.com/docs/grafana/latest/</w:t>
      </w:r>
    </w:p>
    <w:p w14:paraId="733D938C" w14:textId="77777777" w:rsidR="00685A2B" w:rsidRPr="001F4E22" w:rsidRDefault="00000000">
      <w:pPr>
        <w:ind w:left="397"/>
        <w:rPr>
          <w:lang w:val="en-US"/>
        </w:rPr>
      </w:pPr>
      <w:r w:rsidRPr="001F4E22">
        <w:rPr>
          <w:lang w:val="en-US"/>
        </w:rPr>
        <w:t>PostgreSQL Global Development Group. (</w:t>
      </w:r>
      <w:proofErr w:type="spellStart"/>
      <w:r w:rsidRPr="001F4E22">
        <w:rPr>
          <w:lang w:val="en-US"/>
        </w:rPr>
        <w:t>s.d.</w:t>
      </w:r>
      <w:proofErr w:type="spellEnd"/>
      <w:r w:rsidRPr="001F4E22">
        <w:rPr>
          <w:lang w:val="en-US"/>
        </w:rPr>
        <w:t>). PostgreSQL Documentation. https://www.postgresql.org/docs/</w:t>
      </w:r>
    </w:p>
    <w:p w14:paraId="1C5261C4" w14:textId="77777777" w:rsidR="00685A2B" w:rsidRDefault="00000000">
      <w:pPr>
        <w:ind w:left="397"/>
      </w:pPr>
      <w:r>
        <w:t>Docker. (s.d.). Docker Compose documentation. https://docs.docker.com/compose/</w:t>
      </w:r>
    </w:p>
    <w:p w14:paraId="1F7D5214" w14:textId="77777777" w:rsidR="00685A2B" w:rsidRDefault="00000000">
      <w:pPr>
        <w:ind w:left="397"/>
      </w:pPr>
      <w:r>
        <w:t>Ferreira, L., &amp; Ribeiro, Ó. (2026). Integração de Sistemas de Informação: Trabalho Prático I — Enunciado [Documento da unidade curricular].</w:t>
      </w:r>
    </w:p>
    <w:p w14:paraId="25C293BF" w14:textId="77777777" w:rsidR="00685A2B" w:rsidRPr="005B71AB" w:rsidRDefault="00000000">
      <w:pPr>
        <w:pStyle w:val="Heading1"/>
        <w:rPr>
          <w:color w:val="000000" w:themeColor="text1"/>
        </w:rPr>
      </w:pPr>
      <w:r w:rsidRPr="005B71AB">
        <w:rPr>
          <w:color w:val="000000" w:themeColor="text1"/>
        </w:rPr>
        <w:t>Anexo A — Demonstração em vídeo</w:t>
      </w:r>
    </w:p>
    <w:p w14:paraId="34AACEFE" w14:textId="77777777" w:rsidR="00685A2B" w:rsidRDefault="00000000">
      <w:r>
        <w:t>Link do vídeo: [INSERIR LINK ACESSÍVEL DO VÍDEO].</w:t>
      </w:r>
    </w:p>
    <w:p w14:paraId="17D3C07D" w14:textId="77777777" w:rsidR="00685A2B" w:rsidRDefault="00000000">
      <w:r>
        <w:t>QR Code: [INSERIR QR CODE DO VÍDEO APÓS DISPONIBILIZAÇÃO DO LINK].</w:t>
      </w:r>
    </w:p>
    <w:p w14:paraId="318C4990" w14:textId="77777777" w:rsidR="00685A2B" w:rsidRDefault="00000000">
      <w:r>
        <w:t>O vídeo deverá demonstrar a execução do workflow KNIME, a persistência dos dados no PostgreSQL e a consulta dos dashboards no Grafana.</w:t>
      </w:r>
    </w:p>
    <w:sectPr w:rsidR="00685A2B" w:rsidSect="00DC0777">
      <w:footerReference w:type="default" r:id="rId10"/>
      <w:headerReference w:type="first" r:id="rId11"/>
      <w:pgSz w:w="11906" w:h="16838"/>
      <w:pgMar w:top="1361" w:right="1417" w:bottom="1247" w:left="1587" w:header="709" w:footer="709" w:gutter="0"/>
      <w:pgNumType w:fmt="upperRoman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E75F93C" w14:textId="77777777" w:rsidR="00667EBF" w:rsidRDefault="00667EBF" w:rsidP="00E50E37">
      <w:r>
        <w:separator/>
      </w:r>
    </w:p>
  </w:endnote>
  <w:endnote w:type="continuationSeparator" w:id="0">
    <w:p w14:paraId="2A799AA1" w14:textId="77777777" w:rsidR="00667EBF" w:rsidRDefault="00667EBF" w:rsidP="00E50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rlito">
    <w:altName w:val="Calibri"/>
    <w:panose1 w:val="020B0604020202020204"/>
    <w:charset w:val="00"/>
    <w:family w:val="swiss"/>
    <w:pitch w:val="variable"/>
    <w:sig w:usb0="E10002FF" w:usb1="5000E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B3C297F" w14:textId="77777777" w:rsidR="00685A2B" w:rsidRDefault="00000000">
    <w:pPr>
      <w:jc w:val="center"/>
    </w:pPr>
    <w:r>
      <w:fldChar w:fldCharType="begin"/>
    </w:r>
    <w:r>
      <w:instrText xml:space="preserve"> PAGE </w:instrText>
    </w:r>
    <w:r w:rsidR="001F4E22">
      <w:fldChar w:fldCharType="separate"/>
    </w:r>
    <w:r w:rsidR="001F4E22">
      <w:rPr>
        <w:noProof/>
      </w:rPr>
      <w:t>III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E0B360" w14:textId="77777777" w:rsidR="00667EBF" w:rsidRDefault="00667EBF" w:rsidP="00E50E37">
      <w:r>
        <w:separator/>
      </w:r>
    </w:p>
  </w:footnote>
  <w:footnote w:type="continuationSeparator" w:id="0">
    <w:p w14:paraId="4E96C8FF" w14:textId="77777777" w:rsidR="00667EBF" w:rsidRDefault="00667EBF" w:rsidP="00E50E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2374DD" w14:textId="40368299" w:rsidR="001F4E22" w:rsidRPr="001F4E22" w:rsidRDefault="001F4E22" w:rsidP="001F4E22">
    <w:pPr>
      <w:pStyle w:val="Header"/>
      <w:tabs>
        <w:tab w:val="clear" w:pos="4252"/>
        <w:tab w:val="clear" w:pos="8504"/>
        <w:tab w:val="right" w:pos="8902"/>
      </w:tabs>
    </w:pPr>
    <w:r>
      <w:fldChar w:fldCharType="begin"/>
    </w:r>
    <w:r>
      <w:instrText xml:space="preserve"> INCLUDEPICTURE "https://encrypted-tbn0.gstatic.com/images?q=tbn:ANd9GcRfHsxwLAC9InamDFxBMAbhO5pE43qNhSIC-RKQKj-DsQ&amp;s=10" \* MERGEFORMATINET </w:instrText>
    </w:r>
    <w:r>
      <w:fldChar w:fldCharType="separate"/>
    </w:r>
    <w:r>
      <w:rPr>
        <w:noProof/>
      </w:rPr>
      <w:drawing>
        <wp:inline distT="0" distB="0" distL="0" distR="0" wp14:anchorId="02ACF170" wp14:editId="6626384B">
          <wp:extent cx="956409" cy="388601"/>
          <wp:effectExtent l="0" t="0" r="0" b="5715"/>
          <wp:docPr id="65493078" name="Picture 1" descr="Universidade Politécnica do Cávado e do Ave – Wikipédia, a enciclopédia  liv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e Politécnica do Cávado e do Ave – Wikipédia, a enciclopédia  liv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6547" cy="4292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  <w:r>
      <w:tab/>
    </w:r>
    <w:r>
      <w:fldChar w:fldCharType="begin"/>
    </w:r>
    <w:r>
      <w:instrText xml:space="preserve"> INCLUDEPICTURE "https://slate-conf.org/2020/images/est.png" \* MERGEFORMATINET </w:instrText>
    </w:r>
    <w:r>
      <w:fldChar w:fldCharType="separate"/>
    </w:r>
    <w:r>
      <w:rPr>
        <w:noProof/>
      </w:rPr>
      <w:drawing>
        <wp:inline distT="0" distB="0" distL="0" distR="0" wp14:anchorId="063CEDB8" wp14:editId="78F350A8">
          <wp:extent cx="1148080" cy="434094"/>
          <wp:effectExtent l="0" t="0" r="0" b="0"/>
          <wp:docPr id="1098716375" name="Picture 2" descr="SLATE'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SLATE'2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7944" cy="47563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022154"/>
    <w:multiLevelType w:val="multilevel"/>
    <w:tmpl w:val="B4BE74A0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pStyle w:val="Heading4"/>
      <w:lvlText w:val="%1.%2.%3.%4."/>
      <w:lvlJc w:val="left"/>
      <w:pPr>
        <w:ind w:left="1728" w:hanging="648"/>
      </w:pPr>
    </w:lvl>
    <w:lvl w:ilvl="4">
      <w:start w:val="1"/>
      <w:numFmt w:val="decimal"/>
      <w:pStyle w:val="Heading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7E641BC"/>
    <w:multiLevelType w:val="hybridMultilevel"/>
    <w:tmpl w:val="0018F20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8066809">
    <w:abstractNumId w:val="0"/>
  </w:num>
  <w:num w:numId="2" w16cid:durableId="202207906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mirrorMargins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C97"/>
    <w:rsid w:val="00002CA4"/>
    <w:rsid w:val="000327F7"/>
    <w:rsid w:val="00036986"/>
    <w:rsid w:val="000455C5"/>
    <w:rsid w:val="00056C27"/>
    <w:rsid w:val="00057199"/>
    <w:rsid w:val="000639DE"/>
    <w:rsid w:val="00073081"/>
    <w:rsid w:val="00076822"/>
    <w:rsid w:val="00083104"/>
    <w:rsid w:val="000B517F"/>
    <w:rsid w:val="000C2409"/>
    <w:rsid w:val="000C36DF"/>
    <w:rsid w:val="000C67CE"/>
    <w:rsid w:val="000E4EA8"/>
    <w:rsid w:val="00107816"/>
    <w:rsid w:val="00115CC7"/>
    <w:rsid w:val="001A04C3"/>
    <w:rsid w:val="001A3B71"/>
    <w:rsid w:val="001B44DD"/>
    <w:rsid w:val="001E0530"/>
    <w:rsid w:val="001F1232"/>
    <w:rsid w:val="001F188B"/>
    <w:rsid w:val="001F4E22"/>
    <w:rsid w:val="0020762A"/>
    <w:rsid w:val="0024416D"/>
    <w:rsid w:val="0026547F"/>
    <w:rsid w:val="00280A5F"/>
    <w:rsid w:val="00281DA0"/>
    <w:rsid w:val="00281E53"/>
    <w:rsid w:val="00294FA8"/>
    <w:rsid w:val="002B1C7C"/>
    <w:rsid w:val="002C77A8"/>
    <w:rsid w:val="002D3137"/>
    <w:rsid w:val="002F4FD7"/>
    <w:rsid w:val="00304C2C"/>
    <w:rsid w:val="00304C32"/>
    <w:rsid w:val="00337A64"/>
    <w:rsid w:val="003678D5"/>
    <w:rsid w:val="00371809"/>
    <w:rsid w:val="003A6660"/>
    <w:rsid w:val="003B3691"/>
    <w:rsid w:val="003B4A0A"/>
    <w:rsid w:val="003B53FF"/>
    <w:rsid w:val="003C2050"/>
    <w:rsid w:val="003D00F6"/>
    <w:rsid w:val="003E06B4"/>
    <w:rsid w:val="003E3491"/>
    <w:rsid w:val="003E4B41"/>
    <w:rsid w:val="00411285"/>
    <w:rsid w:val="0041435C"/>
    <w:rsid w:val="00421437"/>
    <w:rsid w:val="00432441"/>
    <w:rsid w:val="00497552"/>
    <w:rsid w:val="004A09F1"/>
    <w:rsid w:val="004E5701"/>
    <w:rsid w:val="005060C5"/>
    <w:rsid w:val="0051167C"/>
    <w:rsid w:val="00542D98"/>
    <w:rsid w:val="00587945"/>
    <w:rsid w:val="005B71AB"/>
    <w:rsid w:val="005C29DF"/>
    <w:rsid w:val="005C56BA"/>
    <w:rsid w:val="005D1639"/>
    <w:rsid w:val="00612C0C"/>
    <w:rsid w:val="0063129B"/>
    <w:rsid w:val="00667EBF"/>
    <w:rsid w:val="00685A2B"/>
    <w:rsid w:val="0069106B"/>
    <w:rsid w:val="006D40B4"/>
    <w:rsid w:val="006F73DB"/>
    <w:rsid w:val="00727FD9"/>
    <w:rsid w:val="00756E9F"/>
    <w:rsid w:val="0077691F"/>
    <w:rsid w:val="007A750C"/>
    <w:rsid w:val="008013DA"/>
    <w:rsid w:val="00802D5B"/>
    <w:rsid w:val="00804760"/>
    <w:rsid w:val="008113A7"/>
    <w:rsid w:val="00823B28"/>
    <w:rsid w:val="00855220"/>
    <w:rsid w:val="00861E0E"/>
    <w:rsid w:val="008D0FCC"/>
    <w:rsid w:val="008D3C2B"/>
    <w:rsid w:val="009179C0"/>
    <w:rsid w:val="00920C97"/>
    <w:rsid w:val="00922D65"/>
    <w:rsid w:val="00930B94"/>
    <w:rsid w:val="00962575"/>
    <w:rsid w:val="00986B66"/>
    <w:rsid w:val="009E73E0"/>
    <w:rsid w:val="009F3C77"/>
    <w:rsid w:val="00A245ED"/>
    <w:rsid w:val="00A61309"/>
    <w:rsid w:val="00A723E9"/>
    <w:rsid w:val="00A8526C"/>
    <w:rsid w:val="00AA76C5"/>
    <w:rsid w:val="00AE53D2"/>
    <w:rsid w:val="00AE78B5"/>
    <w:rsid w:val="00B10E2D"/>
    <w:rsid w:val="00B16F91"/>
    <w:rsid w:val="00B1714F"/>
    <w:rsid w:val="00B30193"/>
    <w:rsid w:val="00B545D3"/>
    <w:rsid w:val="00B86D87"/>
    <w:rsid w:val="00BE24FA"/>
    <w:rsid w:val="00C67D95"/>
    <w:rsid w:val="00C946A9"/>
    <w:rsid w:val="00CB589A"/>
    <w:rsid w:val="00CD73FF"/>
    <w:rsid w:val="00CE6692"/>
    <w:rsid w:val="00D01FC1"/>
    <w:rsid w:val="00D41FE1"/>
    <w:rsid w:val="00D8004E"/>
    <w:rsid w:val="00D90D0C"/>
    <w:rsid w:val="00DB6E9D"/>
    <w:rsid w:val="00DC0777"/>
    <w:rsid w:val="00DC2A5F"/>
    <w:rsid w:val="00DD042D"/>
    <w:rsid w:val="00E272DA"/>
    <w:rsid w:val="00E34661"/>
    <w:rsid w:val="00E42375"/>
    <w:rsid w:val="00E50E37"/>
    <w:rsid w:val="00E524F8"/>
    <w:rsid w:val="00E552A2"/>
    <w:rsid w:val="00EA7A5A"/>
    <w:rsid w:val="00F03B19"/>
    <w:rsid w:val="00F10BA8"/>
    <w:rsid w:val="00F67088"/>
    <w:rsid w:val="00F76D81"/>
    <w:rsid w:val="00FC30E3"/>
    <w:rsid w:val="00FD4374"/>
    <w:rsid w:val="00FF7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861A0BE"/>
  <w15:docId w15:val="{A37976DA-356D-4900-BA0C-480CF0891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E50E37"/>
    <w:pPr>
      <w:spacing w:after="120"/>
      <w:ind w:firstLine="709"/>
      <w:jc w:val="both"/>
    </w:pPr>
    <w:rPr>
      <w:rFonts w:ascii="Arial" w:eastAsia="Arial" w:hAnsi="Arial" w:cs="Arial"/>
      <w:sz w:val="21"/>
      <w:szCs w:val="24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6D40B4"/>
    <w:pPr>
      <w:numPr>
        <w:numId w:val="1"/>
      </w:numPr>
      <w:spacing w:after="240"/>
      <w:outlineLvl w:val="0"/>
    </w:pPr>
    <w:rPr>
      <w:b/>
      <w:color w:val="17365D"/>
      <w:sz w:val="32"/>
      <w:szCs w:val="3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6D40B4"/>
    <w:pPr>
      <w:numPr>
        <w:ilvl w:val="1"/>
        <w:numId w:val="1"/>
      </w:numPr>
      <w:spacing w:before="240" w:after="240"/>
      <w:ind w:left="426"/>
      <w:outlineLvl w:val="1"/>
    </w:pPr>
    <w:rPr>
      <w:b/>
      <w:color w:val="1F4E79"/>
      <w:sz w:val="24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3B53FF"/>
    <w:pPr>
      <w:numPr>
        <w:ilvl w:val="2"/>
        <w:numId w:val="1"/>
      </w:numPr>
      <w:spacing w:after="0"/>
      <w:outlineLvl w:val="2"/>
    </w:pPr>
    <w:rPr>
      <w:b/>
      <w:color w:val="1F4E79"/>
      <w:sz w:val="22"/>
    </w:rPr>
  </w:style>
  <w:style w:type="paragraph" w:styleId="Heading4">
    <w:name w:val="heading 4"/>
    <w:basedOn w:val="ListParagraph"/>
    <w:next w:val="Normal"/>
    <w:link w:val="Heading4Char"/>
    <w:uiPriority w:val="9"/>
    <w:unhideWhenUsed/>
    <w:qFormat/>
    <w:rsid w:val="003B53FF"/>
    <w:pPr>
      <w:numPr>
        <w:ilvl w:val="3"/>
        <w:numId w:val="1"/>
      </w:numPr>
      <w:spacing w:after="0"/>
      <w:outlineLvl w:val="3"/>
    </w:pPr>
    <w:rPr>
      <w:b/>
    </w:rPr>
  </w:style>
  <w:style w:type="paragraph" w:styleId="Heading5">
    <w:name w:val="heading 5"/>
    <w:basedOn w:val="ListParagraph"/>
    <w:next w:val="Normal"/>
    <w:link w:val="Heading5Char"/>
    <w:uiPriority w:val="9"/>
    <w:unhideWhenUsed/>
    <w:qFormat/>
    <w:rsid w:val="003B53FF"/>
    <w:pPr>
      <w:numPr>
        <w:ilvl w:val="4"/>
        <w:numId w:val="1"/>
      </w:numPr>
      <w:spacing w:after="0"/>
      <w:outlineLvl w:val="4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545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45D3"/>
  </w:style>
  <w:style w:type="paragraph" w:styleId="Footer">
    <w:name w:val="footer"/>
    <w:basedOn w:val="Normal"/>
    <w:link w:val="FooterChar"/>
    <w:uiPriority w:val="99"/>
    <w:unhideWhenUsed/>
    <w:rsid w:val="00B545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45D3"/>
  </w:style>
  <w:style w:type="table" w:styleId="TableGrid">
    <w:name w:val="Table Grid"/>
    <w:basedOn w:val="TableNormal"/>
    <w:uiPriority w:val="39"/>
    <w:rsid w:val="005D16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D40B4"/>
    <w:rPr>
      <w:rFonts w:ascii="Arial" w:hAnsi="Arial" w:cs="Arial"/>
      <w:b/>
      <w:sz w:val="36"/>
      <w:szCs w:val="36"/>
    </w:rPr>
  </w:style>
  <w:style w:type="paragraph" w:styleId="ListParagraph">
    <w:name w:val="List Paragraph"/>
    <w:basedOn w:val="Normal"/>
    <w:uiPriority w:val="34"/>
    <w:qFormat/>
    <w:rsid w:val="003B53FF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3B53FF"/>
    <w:pPr>
      <w:spacing w:before="240" w:line="259" w:lineRule="auto"/>
      <w:outlineLvl w:val="9"/>
    </w:pPr>
    <w:rPr>
      <w:rFonts w:asciiTheme="majorHAnsi" w:hAnsiTheme="majorHAnsi"/>
      <w:b w:val="0"/>
      <w:bCs/>
      <w:color w:val="365F91" w:themeColor="accent1" w:themeShade="BF"/>
      <w:szCs w:val="32"/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3B53FF"/>
  </w:style>
  <w:style w:type="character" w:styleId="Hyperlink">
    <w:name w:val="Hyperlink"/>
    <w:basedOn w:val="DefaultParagraphFont"/>
    <w:uiPriority w:val="99"/>
    <w:unhideWhenUsed/>
    <w:rsid w:val="003B53FF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D40B4"/>
    <w:rPr>
      <w:rFonts w:ascii="Arial" w:hAnsi="Arial" w:cs="Arial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3B53FF"/>
    <w:rPr>
      <w:rFonts w:ascii="Arial" w:hAnsi="Arial" w:cs="Arial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B53FF"/>
    <w:rPr>
      <w:rFonts w:ascii="Arial" w:hAnsi="Arial" w:cs="Arial"/>
      <w:b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3B53FF"/>
    <w:rPr>
      <w:rFonts w:ascii="Arial" w:hAnsi="Arial" w:cs="Arial"/>
      <w:b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B86D87"/>
    <w:pPr>
      <w:spacing w:before="240" w:line="240" w:lineRule="auto"/>
      <w:ind w:firstLine="708"/>
    </w:pPr>
    <w:rPr>
      <w:rFonts w:ascii="Carlito" w:hAnsi="Carlito" w:cs="Carlito"/>
      <w:i/>
      <w:iCs/>
    </w:rPr>
  </w:style>
  <w:style w:type="paragraph" w:customStyle="1" w:styleId="Code">
    <w:name w:val="Code"/>
    <w:basedOn w:val="Normal"/>
    <w:link w:val="CodeChar"/>
    <w:qFormat/>
    <w:rsid w:val="00B86D87"/>
    <w:pPr>
      <w:spacing w:after="160" w:line="259" w:lineRule="auto"/>
    </w:pPr>
    <w:rPr>
      <w:rFonts w:ascii="Courier New" w:hAnsi="Courier New" w:cs="Courier New"/>
    </w:rPr>
  </w:style>
  <w:style w:type="character" w:customStyle="1" w:styleId="CodeChar">
    <w:name w:val="Code Char"/>
    <w:basedOn w:val="DefaultParagraphFont"/>
    <w:link w:val="Code"/>
    <w:rsid w:val="00B86D87"/>
    <w:rPr>
      <w:rFonts w:ascii="Courier New" w:hAnsi="Courier New" w:cs="Courier New"/>
    </w:rPr>
  </w:style>
  <w:style w:type="paragraph" w:styleId="Bibliography">
    <w:name w:val="Bibliography"/>
    <w:basedOn w:val="Normal"/>
    <w:next w:val="Normal"/>
    <w:uiPriority w:val="37"/>
    <w:unhideWhenUsed/>
    <w:rsid w:val="00804760"/>
    <w:pPr>
      <w:spacing w:after="160" w:line="259" w:lineRule="auto"/>
      <w:ind w:firstLine="708"/>
    </w:pPr>
    <w:rPr>
      <w:rFonts w:ascii="Carlito" w:hAnsi="Carlito" w:cs="Carlito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804760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04760"/>
    <w:pPr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804760"/>
    <w:pPr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804760"/>
    <w:pPr>
      <w:ind w:left="880"/>
    </w:pPr>
  </w:style>
  <w:style w:type="paragraph" w:styleId="TableofFigures">
    <w:name w:val="table of figures"/>
    <w:basedOn w:val="Normal"/>
    <w:next w:val="Normal"/>
    <w:uiPriority w:val="99"/>
    <w:unhideWhenUsed/>
    <w:rsid w:val="00036986"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E50E37"/>
    <w:pPr>
      <w:jc w:val="center"/>
    </w:pPr>
    <w:rPr>
      <w:b/>
      <w:color w:val="17365D"/>
      <w:sz w:val="44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E50E37"/>
    <w:rPr>
      <w:rFonts w:ascii="Arial" w:hAnsi="Arial" w:cs="Arial"/>
      <w:sz w:val="32"/>
      <w:szCs w:val="32"/>
    </w:rPr>
  </w:style>
  <w:style w:type="paragraph" w:customStyle="1" w:styleId="Autor">
    <w:name w:val="Autor"/>
    <w:basedOn w:val="Normal"/>
    <w:link w:val="AutorChar"/>
    <w:qFormat/>
    <w:rsid w:val="00E50E37"/>
    <w:pPr>
      <w:jc w:val="center"/>
    </w:pPr>
    <w:rPr>
      <w:sz w:val="28"/>
      <w:szCs w:val="28"/>
    </w:rPr>
  </w:style>
  <w:style w:type="paragraph" w:customStyle="1" w:styleId="RodapdaCapa">
    <w:name w:val="Rodapé da Capa"/>
    <w:basedOn w:val="Normal"/>
    <w:link w:val="RodapdaCapaChar"/>
    <w:qFormat/>
    <w:rsid w:val="00E50E37"/>
    <w:pPr>
      <w:tabs>
        <w:tab w:val="left" w:pos="1981"/>
      </w:tabs>
      <w:jc w:val="center"/>
    </w:pPr>
  </w:style>
  <w:style w:type="character" w:customStyle="1" w:styleId="AutorChar">
    <w:name w:val="Autor Char"/>
    <w:basedOn w:val="DefaultParagraphFont"/>
    <w:link w:val="Autor"/>
    <w:rsid w:val="00E50E37"/>
    <w:rPr>
      <w:rFonts w:ascii="Arial" w:hAnsi="Arial" w:cs="Arial"/>
      <w:sz w:val="28"/>
      <w:szCs w:val="28"/>
    </w:rPr>
  </w:style>
  <w:style w:type="paragraph" w:customStyle="1" w:styleId="TituloNoNumerado">
    <w:name w:val="Titulo Não Numerado"/>
    <w:basedOn w:val="Normal"/>
    <w:link w:val="TituloNoNumeradoChar"/>
    <w:qFormat/>
    <w:rsid w:val="001B44DD"/>
    <w:pPr>
      <w:jc w:val="center"/>
    </w:pPr>
    <w:rPr>
      <w:b/>
      <w:sz w:val="26"/>
      <w:szCs w:val="26"/>
    </w:rPr>
  </w:style>
  <w:style w:type="character" w:customStyle="1" w:styleId="RodapdaCapaChar">
    <w:name w:val="Rodapé da Capa Char"/>
    <w:basedOn w:val="DefaultParagraphFont"/>
    <w:link w:val="RodapdaCapa"/>
    <w:rsid w:val="00E50E37"/>
    <w:rPr>
      <w:rFonts w:ascii="Arial" w:hAnsi="Arial" w:cs="Arial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6D40B4"/>
    <w:pPr>
      <w:spacing w:before="200" w:after="160"/>
      <w:ind w:left="864" w:right="864"/>
    </w:pPr>
    <w:rPr>
      <w:i/>
      <w:iCs/>
      <w:color w:val="404040" w:themeColor="text1" w:themeTint="BF"/>
      <w:lang w:val="en-US"/>
    </w:rPr>
  </w:style>
  <w:style w:type="character" w:customStyle="1" w:styleId="TituloNoNumeradoChar">
    <w:name w:val="Titulo Não Numerado Char"/>
    <w:basedOn w:val="DefaultParagraphFont"/>
    <w:link w:val="TituloNoNumerado"/>
    <w:rsid w:val="001B44DD"/>
    <w:rPr>
      <w:rFonts w:ascii="Arial" w:hAnsi="Arial" w:cs="Arial"/>
      <w:b/>
      <w:sz w:val="26"/>
      <w:szCs w:val="26"/>
    </w:rPr>
  </w:style>
  <w:style w:type="character" w:customStyle="1" w:styleId="QuoteChar">
    <w:name w:val="Quote Char"/>
    <w:basedOn w:val="DefaultParagraphFont"/>
    <w:link w:val="Quote"/>
    <w:uiPriority w:val="29"/>
    <w:rsid w:val="006D40B4"/>
    <w:rPr>
      <w:rFonts w:ascii="Arial" w:hAnsi="Arial" w:cs="Arial"/>
      <w:i/>
      <w:iCs/>
      <w:color w:val="404040" w:themeColor="text1" w:themeTint="BF"/>
      <w:sz w:val="24"/>
      <w:szCs w:val="24"/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2654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Don73</b:Tag>
    <b:SourceType>Book</b:SourceType>
    <b:Guid>{BAC2298C-EBC7-4093-8460-CAA181CD4291}</b:Guid>
    <b:LCID>en-US</b:LCID>
    <b:Author>
      <b:Author>
        <b:NameList>
          <b:Person>
            <b:Last>Knuth</b:Last>
            <b:First>Donald</b:First>
          </b:Person>
        </b:NameList>
      </b:Author>
    </b:Author>
    <b:Title>The Art of Computer Programming</b:Title>
    <b:Year>1973</b:Year>
    <b:Publisher>Adison Wesley</b:Publisher>
    <b:RefOrder>1</b:RefOrder>
  </b:Source>
  <b:Source>
    <b:Tag>Pen17</b:Tag>
    <b:SourceType>InternetSite</b:SourceType>
    <b:Guid>{AF409AB7-41BD-492E-9235-505EE1690D4B}</b:Guid>
    <b:Title>APA Quick Citation Guide</b:Title>
    <b:Year>2017</b:Year>
    <b:Month>Março</b:Month>
    <b:Day>15</b:Day>
    <b:InternetSiteTitle>PennState University Libraries Web Site</b:InternetSiteTitle>
    <b:URL>http://guides.libraries.psu.edu/apaquickguide/intext</b:URL>
    <b:Author>
      <b:Author>
        <b:Corporate>PennState University Libraries</b:Corporate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F6DEB3F-09EB-1341-9D13-1ECD9CEE4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2161</Words>
  <Characters>12318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ESEIG</Company>
  <LinksUpToDate>false</LinksUpToDate>
  <CharactersWithSpaces>14451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Anabela Novais Correia</dc:creator>
  <cp:keywords/>
  <dc:description/>
  <cp:lastModifiedBy>Daniel Batista</cp:lastModifiedBy>
  <cp:revision>25</cp:revision>
  <dcterms:created xsi:type="dcterms:W3CDTF">2014-04-11T14:22:00Z</dcterms:created>
  <dcterms:modified xsi:type="dcterms:W3CDTF">2026-10-22T10:09:00Z</dcterms:modified>
</cp:coreProperties>
</file>