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E4" w:rsidRDefault="006F5557"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-15.6pt;margin-top:52.95pt;width:201.35pt;height:71.4pt;z-index:1;mso-wrap-distance-left:9pt;mso-wrap-distance-right:9pt" wrapcoords="0 0 0 21328 21402 21328 21402 0 0 0">
            <v:imagedata r:id="rId8" o:title=""/>
            <w10:wrap type="through"/>
          </v:shape>
        </w:pict>
      </w:r>
      <w:r>
        <w:pict>
          <v:rect id="Text Box 153" o:spid="_x0000_s1027" style="position:absolute;margin-left:0;margin-top:554.4pt;width:575.85pt;height:79.2pt;z-index:4;mso-wrap-distance-left:9pt;mso-wrap-distance-top:0;mso-wrap-distance-right:9pt;mso-wrap-distance-bottom:0;mso-position-horizontal:center;mso-position-horizontal-relative:page;mso-position-vertical-relative:page" o:preferrelative="t" filled="f" stroked="f">
            <v:textbox style="mso-fit-shape-to-text:t" inset="126pt,0,54pt,0">
              <w:txbxContent>
                <w:p w:rsidR="006F1DE4" w:rsidRDefault="00CA494A">
                  <w:pPr>
                    <w:pStyle w:val="NoSpacing1"/>
                    <w:jc w:val="right"/>
                    <w:rPr>
                      <w:color w:val="4F81BD"/>
                      <w:sz w:val="28"/>
                      <w:szCs w:val="28"/>
                    </w:rPr>
                  </w:pPr>
                  <w:r>
                    <w:rPr>
                      <w:color w:val="4F81BD"/>
                      <w:sz w:val="28"/>
                      <w:szCs w:val="28"/>
                    </w:rPr>
                    <w:t>Abstract</w:t>
                  </w:r>
                </w:p>
                <w:p w:rsidR="006F1DE4" w:rsidRDefault="00CA494A">
                  <w:pPr>
                    <w:pStyle w:val="NoSpacing1"/>
                    <w:jc w:val="right"/>
                    <w:rPr>
                      <w:color w:val="565656"/>
                      <w:sz w:val="20"/>
                      <w:szCs w:val="20"/>
                    </w:rPr>
                  </w:pPr>
                  <w:r>
                    <w:rPr>
                      <w:color w:val="565656"/>
                      <w:sz w:val="20"/>
                      <w:szCs w:val="20"/>
                    </w:rPr>
                    <w:t>Confidential Block diagram 4/8/2015 Copyrighted</w:t>
                  </w:r>
                  <w:r>
                    <w:rPr>
                      <w:color w:val="565656"/>
                      <w:sz w:val="20"/>
                      <w:szCs w:val="20"/>
                    </w:rPr>
                    <w:br/>
                    <w:t>Information and devices shown in this guide have patents and patents pending.</w:t>
                  </w:r>
                </w:p>
              </w:txbxContent>
            </v:textbox>
            <w10:wrap type="square" anchorx="page" anchory="page"/>
          </v:rect>
        </w:pict>
      </w:r>
      <w:r>
        <w:pict>
          <v:rect id="Text Box 154" o:spid="_x0000_s1028" style="position:absolute;margin-left:0;margin-top:237.6pt;width:575.85pt;height:287.45pt;z-index:2;mso-wrap-distance-left:9pt;mso-wrap-distance-top:0;mso-wrap-distance-right:9pt;mso-wrap-distance-bottom:0;mso-position-horizontal:center;mso-position-horizontal-relative:page;mso-position-vertical-relative:page" o:preferrelative="t" filled="f" stroked="f">
            <v:textbox inset="126pt,0,54pt,0">
              <w:txbxContent>
                <w:p w:rsidR="006F1DE4" w:rsidRDefault="00CA494A">
                  <w:pPr>
                    <w:jc w:val="right"/>
                    <w:rPr>
                      <w:color w:val="4F81BD"/>
                      <w:sz w:val="64"/>
                      <w:szCs w:val="64"/>
                    </w:rPr>
                  </w:pPr>
                  <w:r>
                    <w:rPr>
                      <w:rFonts w:eastAsia="Times New Roman"/>
                      <w:color w:val="4F81BD"/>
                      <w:sz w:val="64"/>
                      <w:szCs w:val="64"/>
                    </w:rPr>
                    <w:t>SRU233 MODULE</w:t>
                  </w:r>
                </w:p>
                <w:p w:rsidR="006F1DE4" w:rsidRDefault="00CA494A"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color w:val="3F3F3F"/>
                      <w:sz w:val="36"/>
                      <w:szCs w:val="36"/>
                    </w:rPr>
                    <w:t>01.01.02 Block diagram</w:t>
                  </w:r>
                </w:p>
              </w:txbxContent>
            </v:textbox>
            <w10:wrap type="square" anchorx="page" anchory="page"/>
          </v:rect>
        </w:pict>
      </w:r>
    </w:p>
    <w:p w:rsidR="006F1DE4" w:rsidRDefault="006F5557">
      <w:pPr>
        <w:rPr>
          <w:b/>
          <w:color w:val="FF0000"/>
          <w:sz w:val="28"/>
          <w:szCs w:val="28"/>
        </w:rPr>
      </w:pPr>
      <w:r>
        <w:pict>
          <v:rect id="Text Box 152" o:spid="_x0000_s1029" style="position:absolute;margin-left:0;margin-top:647.85pt;width:575.85pt;height:87.85pt;z-index:3;mso-wrap-distance-left:9pt;mso-wrap-distance-top:0;mso-wrap-distance-right:9pt;mso-wrap-distance-bottom:0;mso-position-horizontal:center;mso-position-horizontal-relative:page;mso-position-vertical-relative:page" o:preferrelative="t" filled="f" stroked="f">
            <v:textbox inset="126pt,0,54pt,0">
              <w:txbxContent>
                <w:p w:rsidR="006F1DE4" w:rsidRDefault="00CA494A">
                  <w:pPr>
                    <w:pStyle w:val="NoSpacing1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color w:val="565656"/>
                      <w:sz w:val="28"/>
                      <w:szCs w:val="28"/>
                    </w:rPr>
                    <w:t>Gary Myers, Ashok Hirpara</w:t>
                  </w:r>
                </w:p>
                <w:p w:rsidR="006F1DE4" w:rsidRDefault="00CA494A">
                  <w:pPr>
                    <w:pStyle w:val="NoSpacing1"/>
                    <w:jc w:val="right"/>
                    <w:rPr>
                      <w:color w:val="565656"/>
                      <w:sz w:val="18"/>
                      <w:szCs w:val="18"/>
                    </w:rPr>
                  </w:pPr>
                  <w:r>
                    <w:rPr>
                      <w:color w:val="565656"/>
                      <w:sz w:val="18"/>
                      <w:szCs w:val="18"/>
                    </w:rPr>
                    <w:t>gary.myers@delphiansystems.com     ashok.hirpara@delphiansystems.com</w:t>
                  </w:r>
                </w:p>
              </w:txbxContent>
            </v:textbox>
            <w10:wrap type="square" anchorx="page" anchory="page"/>
          </v:rect>
        </w:pict>
      </w:r>
      <w:r w:rsidR="00CA494A">
        <w:rPr>
          <w:b/>
          <w:color w:val="FF0000"/>
          <w:sz w:val="28"/>
          <w:szCs w:val="28"/>
        </w:rPr>
        <w:br w:type="page"/>
      </w:r>
    </w:p>
    <w:p w:rsidR="006F1DE4" w:rsidRDefault="00CA494A">
      <w:pPr>
        <w:ind w:left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This document contains Confidential Information regarding block charts </w:t>
      </w:r>
      <w:proofErr w:type="gramStart"/>
      <w:r>
        <w:rPr>
          <w:b/>
          <w:color w:val="FF0000"/>
          <w:sz w:val="28"/>
          <w:szCs w:val="28"/>
        </w:rPr>
        <w:t>for</w:t>
      </w:r>
      <w:proofErr w:type="gramEnd"/>
      <w:r>
        <w:rPr>
          <w:b/>
          <w:color w:val="FF0000"/>
          <w:sz w:val="28"/>
          <w:szCs w:val="28"/>
        </w:rPr>
        <w:t>:</w:t>
      </w:r>
    </w:p>
    <w:p w:rsidR="006F1DE4" w:rsidRDefault="00CA494A">
      <w:pPr>
        <w:pStyle w:val="ListParagraph1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 FCC ID:</w:t>
      </w:r>
      <w:r>
        <w:rPr>
          <w:b/>
          <w:color w:val="FF0000"/>
          <w:sz w:val="28"/>
          <w:szCs w:val="28"/>
        </w:rPr>
        <w:t xml:space="preserve"> 2AEHJSRU233</w:t>
      </w:r>
      <w:r>
        <w:rPr>
          <w:b/>
          <w:color w:val="000000"/>
          <w:sz w:val="28"/>
          <w:szCs w:val="28"/>
        </w:rPr>
        <w:t xml:space="preserve"> </w:t>
      </w:r>
    </w:p>
    <w:p w:rsidR="006F1DE4" w:rsidRDefault="00CA494A">
      <w:pPr>
        <w:pStyle w:val="ListParagraph1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Canada IC: </w:t>
      </w:r>
      <w:r>
        <w:rPr>
          <w:b/>
          <w:color w:val="FF0000"/>
          <w:sz w:val="28"/>
          <w:szCs w:val="28"/>
        </w:rPr>
        <w:t>20053-SRU233</w:t>
      </w:r>
    </w:p>
    <w:p w:rsidR="006F1DE4" w:rsidRDefault="00CA494A">
      <w:pPr>
        <w:pStyle w:val="ListParagraph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This document is supplementing: </w:t>
      </w:r>
    </w:p>
    <w:p w:rsidR="006F1DE4" w:rsidRDefault="00CA494A">
      <w:pPr>
        <w:pStyle w:val="ListParagraph1"/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User  Guide</w:t>
      </w:r>
    </w:p>
    <w:p w:rsidR="006F1DE4" w:rsidRDefault="00CA494A">
      <w:pPr>
        <w:pStyle w:val="ListParagraph1"/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Operational Guide (confidential)</w:t>
      </w:r>
    </w:p>
    <w:p w:rsidR="006F1DE4" w:rsidRDefault="00CA494A">
      <w:pPr>
        <w:pStyle w:val="ListParagraph1"/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Schematics (confidential)</w:t>
      </w:r>
    </w:p>
    <w:p w:rsidR="006F1DE4" w:rsidRDefault="00CA494A">
      <w:pPr>
        <w:ind w:left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Information contained here within </w:t>
      </w:r>
      <w:proofErr w:type="gramStart"/>
      <w:r>
        <w:rPr>
          <w:b/>
          <w:color w:val="FF0000"/>
          <w:sz w:val="28"/>
          <w:szCs w:val="28"/>
        </w:rPr>
        <w:t>is considered</w:t>
      </w:r>
      <w:proofErr w:type="gramEnd"/>
      <w:r>
        <w:rPr>
          <w:b/>
          <w:color w:val="FF0000"/>
          <w:sz w:val="28"/>
          <w:szCs w:val="28"/>
        </w:rPr>
        <w:t xml:space="preserve"> confidential subject to terms and conditions of confidentiality statement. </w:t>
      </w:r>
    </w:p>
    <w:p w:rsidR="006F1DE4" w:rsidRDefault="006F1DE4">
      <w:pPr>
        <w:rPr>
          <w:b/>
          <w:sz w:val="28"/>
          <w:szCs w:val="28"/>
        </w:rPr>
      </w:pPr>
    </w:p>
    <w:p w:rsidR="006F1DE4" w:rsidRDefault="00CA494A">
      <w:pPr>
        <w:tabs>
          <w:tab w:val="left" w:pos="41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CA494A">
      <w:pPr>
        <w:pStyle w:val="TOCHeading1"/>
      </w:pPr>
      <w:r>
        <w:t>Table of Contents</w:t>
      </w:r>
    </w:p>
    <w:p w:rsidR="006F1DE4" w:rsidRDefault="00CA494A">
      <w:pPr>
        <w:pStyle w:val="TOC1"/>
        <w:tabs>
          <w:tab w:val="left" w:pos="440"/>
          <w:tab w:val="right" w:leader="dot" w:pos="9350"/>
        </w:tabs>
        <w:rPr>
          <w:szCs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475853" w:history="1">
        <w:r>
          <w:rPr>
            <w:rStyle w:val="Hyperlink"/>
          </w:rPr>
          <w:t>1.</w:t>
        </w:r>
        <w:r>
          <w:rPr>
            <w:szCs w:val="20"/>
          </w:rPr>
          <w:tab/>
        </w:r>
        <w:r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_Toc426475853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F1DE4" w:rsidRDefault="006F5557">
      <w:pPr>
        <w:pStyle w:val="TOC1"/>
        <w:tabs>
          <w:tab w:val="left" w:pos="440"/>
          <w:tab w:val="right" w:leader="dot" w:pos="9350"/>
        </w:tabs>
        <w:rPr>
          <w:szCs w:val="20"/>
        </w:rPr>
      </w:pPr>
      <w:hyperlink w:anchor="_Toc426475854" w:history="1">
        <w:r w:rsidR="00CA494A">
          <w:rPr>
            <w:rStyle w:val="Hyperlink"/>
          </w:rPr>
          <w:t>2.</w:t>
        </w:r>
        <w:r w:rsidR="00CA494A">
          <w:rPr>
            <w:szCs w:val="20"/>
          </w:rPr>
          <w:tab/>
        </w:r>
        <w:r w:rsidR="00CA494A">
          <w:rPr>
            <w:rStyle w:val="Hyperlink"/>
          </w:rPr>
          <w:t>Block diagram of SRU233 module</w:t>
        </w:r>
        <w:r w:rsidR="00CA494A">
          <w:tab/>
        </w:r>
        <w:r w:rsidR="00CA494A">
          <w:fldChar w:fldCharType="begin"/>
        </w:r>
        <w:r w:rsidR="00CA494A">
          <w:instrText xml:space="preserve"> PAGEREF _Toc426475854 \h </w:instrText>
        </w:r>
        <w:r w:rsidR="00CA494A">
          <w:fldChar w:fldCharType="separate"/>
        </w:r>
        <w:r w:rsidR="00CA494A">
          <w:t>4</w:t>
        </w:r>
        <w:r w:rsidR="00CA494A">
          <w:fldChar w:fldCharType="end"/>
        </w:r>
      </w:hyperlink>
    </w:p>
    <w:p w:rsidR="006F1DE4" w:rsidRDefault="006F5557">
      <w:pPr>
        <w:pStyle w:val="TOC1"/>
        <w:tabs>
          <w:tab w:val="left" w:pos="440"/>
          <w:tab w:val="right" w:leader="dot" w:pos="9350"/>
        </w:tabs>
        <w:rPr>
          <w:szCs w:val="20"/>
        </w:rPr>
      </w:pPr>
      <w:hyperlink w:anchor="_Toc426475855" w:history="1">
        <w:r w:rsidR="00CA494A">
          <w:rPr>
            <w:rStyle w:val="Hyperlink"/>
          </w:rPr>
          <w:t>3.</w:t>
        </w:r>
        <w:r w:rsidR="00CA494A">
          <w:rPr>
            <w:szCs w:val="20"/>
          </w:rPr>
          <w:tab/>
        </w:r>
        <w:r w:rsidR="00CA494A">
          <w:rPr>
            <w:rStyle w:val="Hyperlink"/>
          </w:rPr>
          <w:t>Internal block diagram of nRF51422</w:t>
        </w:r>
        <w:r w:rsidR="00CA494A">
          <w:tab/>
        </w:r>
        <w:r w:rsidR="00CA494A">
          <w:fldChar w:fldCharType="begin"/>
        </w:r>
        <w:r w:rsidR="00CA494A">
          <w:instrText xml:space="preserve"> PAGEREF _Toc426475855 \h </w:instrText>
        </w:r>
        <w:r w:rsidR="00CA494A">
          <w:fldChar w:fldCharType="separate"/>
        </w:r>
        <w:r w:rsidR="00CA494A">
          <w:t>5</w:t>
        </w:r>
        <w:r w:rsidR="00CA494A">
          <w:fldChar w:fldCharType="end"/>
        </w:r>
      </w:hyperlink>
    </w:p>
    <w:p w:rsidR="006F1DE4" w:rsidRDefault="006F5557">
      <w:pPr>
        <w:pStyle w:val="TOC1"/>
        <w:tabs>
          <w:tab w:val="left" w:pos="440"/>
          <w:tab w:val="right" w:leader="dot" w:pos="9350"/>
        </w:tabs>
        <w:rPr>
          <w:szCs w:val="20"/>
        </w:rPr>
      </w:pPr>
      <w:hyperlink w:anchor="_Toc426475856" w:history="1">
        <w:r w:rsidR="00CA494A">
          <w:rPr>
            <w:rStyle w:val="Hyperlink"/>
          </w:rPr>
          <w:t>4.</w:t>
        </w:r>
        <w:r w:rsidR="00CA494A">
          <w:rPr>
            <w:szCs w:val="20"/>
          </w:rPr>
          <w:tab/>
        </w:r>
        <w:r w:rsidR="00CA494A">
          <w:rPr>
            <w:rStyle w:val="Hyperlink"/>
          </w:rPr>
          <w:t>Pin out Detail of SRU233 module</w:t>
        </w:r>
        <w:r w:rsidR="00CA494A">
          <w:tab/>
        </w:r>
        <w:r w:rsidR="00CA494A">
          <w:fldChar w:fldCharType="begin"/>
        </w:r>
        <w:r w:rsidR="00CA494A">
          <w:instrText xml:space="preserve"> PAGEREF _Toc426475856 \h </w:instrText>
        </w:r>
        <w:r w:rsidR="00CA494A">
          <w:fldChar w:fldCharType="separate"/>
        </w:r>
        <w:r w:rsidR="00CA494A">
          <w:t>6</w:t>
        </w:r>
        <w:r w:rsidR="00CA494A">
          <w:fldChar w:fldCharType="end"/>
        </w:r>
      </w:hyperlink>
    </w:p>
    <w:p w:rsidR="006F1DE4" w:rsidRDefault="006F5557">
      <w:pPr>
        <w:pStyle w:val="TOC1"/>
        <w:tabs>
          <w:tab w:val="left" w:pos="440"/>
          <w:tab w:val="right" w:leader="dot" w:pos="9350"/>
        </w:tabs>
        <w:rPr>
          <w:szCs w:val="20"/>
        </w:rPr>
      </w:pPr>
      <w:hyperlink w:anchor="_Toc426475857" w:history="1">
        <w:r w:rsidR="00CA494A">
          <w:rPr>
            <w:rStyle w:val="Hyperlink"/>
          </w:rPr>
          <w:t>5.</w:t>
        </w:r>
        <w:r w:rsidR="00CA494A">
          <w:rPr>
            <w:szCs w:val="20"/>
          </w:rPr>
          <w:tab/>
        </w:r>
        <w:r w:rsidR="00CA494A">
          <w:rPr>
            <w:rStyle w:val="Hyperlink"/>
          </w:rPr>
          <w:t>Revision History</w:t>
        </w:r>
        <w:r w:rsidR="00CA494A">
          <w:tab/>
        </w:r>
        <w:r w:rsidR="00CA494A">
          <w:fldChar w:fldCharType="begin"/>
        </w:r>
        <w:r w:rsidR="00CA494A">
          <w:instrText xml:space="preserve"> PAGEREF _Toc426475857 \h </w:instrText>
        </w:r>
        <w:r w:rsidR="00CA494A">
          <w:fldChar w:fldCharType="separate"/>
        </w:r>
        <w:r w:rsidR="00CA494A">
          <w:t>8</w:t>
        </w:r>
        <w:r w:rsidR="00CA494A">
          <w:fldChar w:fldCharType="end"/>
        </w:r>
      </w:hyperlink>
    </w:p>
    <w:p w:rsidR="006F1DE4" w:rsidRDefault="00CA494A">
      <w:r>
        <w:fldChar w:fldCharType="end"/>
      </w: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CA494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1DE4" w:rsidRDefault="00CA494A">
      <w:pPr>
        <w:pStyle w:val="Heading1"/>
        <w:numPr>
          <w:ilvl w:val="0"/>
          <w:numId w:val="3"/>
        </w:numPr>
        <w:spacing w:before="120"/>
        <w:rPr>
          <w:rFonts w:ascii="Calibri" w:hAnsi="Calibri"/>
        </w:rPr>
      </w:pPr>
      <w:bookmarkStart w:id="0" w:name="_Toc426475853"/>
      <w:r>
        <w:rPr>
          <w:rFonts w:ascii="Calibri" w:hAnsi="Calibri"/>
        </w:rPr>
        <w:t>Scope</w:t>
      </w:r>
      <w:bookmarkEnd w:id="0"/>
    </w:p>
    <w:p w:rsidR="006F1DE4" w:rsidRDefault="00CA494A">
      <w:pPr>
        <w:pStyle w:val="ListParagraph1"/>
        <w:spacing w:before="120" w:after="0"/>
      </w:pPr>
      <w:r>
        <w:t>The purpose of this document is to detail the data flow with pin out details and the basic block information for the Model SRU233:</w:t>
      </w:r>
    </w:p>
    <w:p w:rsidR="006F1DE4" w:rsidRDefault="00CA494A">
      <w:pPr>
        <w:pStyle w:val="ListParagraph1"/>
        <w:numPr>
          <w:ilvl w:val="0"/>
          <w:numId w:val="4"/>
        </w:numPr>
        <w:spacing w:before="120" w:after="0"/>
        <w:rPr>
          <w:color w:val="FF0000"/>
        </w:rPr>
      </w:pPr>
      <w:proofErr w:type="gramStart"/>
      <w:r>
        <w:t xml:space="preserve">In US FCC: </w:t>
      </w:r>
      <w:r>
        <w:rPr>
          <w:color w:val="FF0000"/>
        </w:rPr>
        <w:t>2AEHJSRU233 module.</w:t>
      </w:r>
      <w:proofErr w:type="gramEnd"/>
    </w:p>
    <w:p w:rsidR="006F1DE4" w:rsidRDefault="00CA494A">
      <w:pPr>
        <w:pStyle w:val="ListParagraph1"/>
        <w:numPr>
          <w:ilvl w:val="0"/>
          <w:numId w:val="4"/>
        </w:numPr>
        <w:spacing w:before="120" w:after="0"/>
      </w:pPr>
      <w:r>
        <w:t xml:space="preserve">In Canada IC: </w:t>
      </w:r>
      <w:r>
        <w:rPr>
          <w:color w:val="FF0000"/>
        </w:rPr>
        <w:t>20053-SRU233 module.</w:t>
      </w: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CA494A">
      <w:pPr>
        <w:pStyle w:val="ListParagraph1"/>
        <w:tabs>
          <w:tab w:val="left" w:pos="40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6F1DE4">
      <w:pPr>
        <w:pStyle w:val="ListParagraph1"/>
        <w:rPr>
          <w:b/>
          <w:sz w:val="28"/>
          <w:szCs w:val="28"/>
        </w:rPr>
      </w:pPr>
    </w:p>
    <w:p w:rsidR="006F1DE4" w:rsidRDefault="00CA494A">
      <w:pPr>
        <w:rPr>
          <w:b/>
          <w:bCs/>
          <w:color w:val="365F90"/>
          <w:sz w:val="28"/>
          <w:szCs w:val="28"/>
        </w:rPr>
      </w:pPr>
      <w:r>
        <w:br w:type="page"/>
      </w:r>
    </w:p>
    <w:p w:rsidR="006F1DE4" w:rsidRDefault="00CA494A">
      <w:pPr>
        <w:pStyle w:val="Heading1"/>
        <w:numPr>
          <w:ilvl w:val="0"/>
          <w:numId w:val="3"/>
        </w:numPr>
        <w:spacing w:before="120"/>
        <w:rPr>
          <w:rFonts w:ascii="Calibri" w:hAnsi="Calibri"/>
        </w:rPr>
      </w:pPr>
      <w:bookmarkStart w:id="1" w:name="_Toc426475854"/>
      <w:r>
        <w:rPr>
          <w:rFonts w:ascii="Calibri" w:hAnsi="Calibri"/>
        </w:rPr>
        <w:t>Block diagram of SRU233 module</w:t>
      </w:r>
      <w:bookmarkEnd w:id="1"/>
    </w:p>
    <w:p w:rsidR="006F1DE4" w:rsidRDefault="006F5557"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0" type="#_x0000_t32" style="position:absolute;left:0;text-align:left;margin-left:285.75pt;margin-top:51.4pt;width:19.5pt;height:18.75pt;flip:x;z-index:5" o:preferrelative="t" filled="t" strokecolor="#4a7dba">
            <v:stroke endarrow="block" miterlimit="2"/>
          </v:shape>
        </w:pict>
      </w:r>
      <w:r w:rsidR="002A5C3E">
        <w:pict>
          <v:shape id="Picture 4" o:spid="_x0000_i1025" type="#_x0000_t75" style="width:383.4pt;height:226.2pt">
            <v:imagedata r:id="rId9" o:title=""/>
          </v:shape>
        </w:pict>
      </w:r>
    </w:p>
    <w:p w:rsidR="006F1DE4" w:rsidRDefault="00CA494A">
      <w:pPr>
        <w:pStyle w:val="Caption"/>
        <w:jc w:val="center"/>
      </w:pPr>
      <w:r>
        <w:t xml:space="preserve">Figure </w:t>
      </w:r>
      <w:fldSimple w:instr=" SEQ Figure \* ARABIC ">
        <w:r>
          <w:t>1</w:t>
        </w:r>
      </w:fldSimple>
      <w:r>
        <w:t xml:space="preserve"> Block diagram of SRU233 module</w:t>
      </w:r>
    </w:p>
    <w:p w:rsidR="006F1DE4" w:rsidRDefault="00CA494A">
      <w:pPr>
        <w:rPr>
          <w:b/>
          <w:u w:val="single"/>
        </w:rPr>
      </w:pPr>
      <w:r>
        <w:rPr>
          <w:b/>
          <w:u w:val="single"/>
        </w:rPr>
        <w:t>Description of Block Diagram:</w:t>
      </w:r>
    </w:p>
    <w:p w:rsidR="006F1DE4" w:rsidRDefault="00CA494A">
      <w:pPr>
        <w:rPr>
          <w:b/>
        </w:rPr>
      </w:pPr>
      <w:r>
        <w:rPr>
          <w:b/>
        </w:rPr>
        <w:t>A]</w:t>
      </w:r>
      <w:r>
        <w:rPr>
          <w:b/>
        </w:rPr>
        <w:tab/>
      </w:r>
      <w:proofErr w:type="gramStart"/>
      <w:r>
        <w:rPr>
          <w:b/>
        </w:rPr>
        <w:t>nRF51422</w:t>
      </w:r>
      <w:proofErr w:type="gramEnd"/>
    </w:p>
    <w:p w:rsidR="006F1DE4" w:rsidRDefault="00CA494A">
      <w:pPr>
        <w:autoSpaceDE w:val="0"/>
        <w:autoSpaceDN w:val="0"/>
        <w:adjustRightInd w:val="0"/>
        <w:spacing w:after="0" w:line="240" w:lineRule="auto"/>
      </w:pPr>
      <w:r>
        <w:t>The nRF51422 is an ultra-low power 2.4 GHz wireless System on Chip (</w:t>
      </w:r>
      <w:proofErr w:type="spellStart"/>
      <w:r>
        <w:t>SoC</w:t>
      </w:r>
      <w:proofErr w:type="spellEnd"/>
      <w:r>
        <w:t>) integrating the nRF51 series 2.4 GHz transceiver, a 32 bit ARMR Cortex</w:t>
      </w:r>
      <w:r>
        <w:rPr>
          <w:rFonts w:hint="eastAsia"/>
        </w:rPr>
        <w:t>™</w:t>
      </w:r>
      <w:r>
        <w:t>-M0 CPU, flash memory, and analog and digital peripherals.</w:t>
      </w:r>
    </w:p>
    <w:p w:rsidR="006F1DE4" w:rsidRDefault="00CA494A">
      <w:pPr>
        <w:autoSpaceDE w:val="0"/>
        <w:autoSpaceDN w:val="0"/>
        <w:adjustRightInd w:val="0"/>
        <w:spacing w:after="0" w:line="240" w:lineRule="auto"/>
      </w:pPr>
      <w:proofErr w:type="gramStart"/>
      <w:r>
        <w:t>nRF51422</w:t>
      </w:r>
      <w:proofErr w:type="gramEnd"/>
      <w:r>
        <w:t xml:space="preserve"> supports ANT, Bluetooth low energy, and a range of proprietary 2.4 GHz protocols, such as </w:t>
      </w:r>
      <w:proofErr w:type="spellStart"/>
      <w:r>
        <w:t>Gazell</w:t>
      </w:r>
      <w:proofErr w:type="spellEnd"/>
      <w:r>
        <w:t xml:space="preserve"> from Nordic Semiconductor.</w:t>
      </w:r>
    </w:p>
    <w:p w:rsidR="006F1DE4" w:rsidRDefault="006F1DE4">
      <w:pPr>
        <w:autoSpaceDE w:val="0"/>
        <w:autoSpaceDN w:val="0"/>
        <w:adjustRightInd w:val="0"/>
        <w:spacing w:after="0" w:line="240" w:lineRule="auto"/>
      </w:pPr>
    </w:p>
    <w:p w:rsidR="006F1DE4" w:rsidRDefault="00CA494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B]</w:t>
      </w:r>
      <w:r>
        <w:rPr>
          <w:b/>
        </w:rPr>
        <w:tab/>
        <w:t>16MHz Crystal</w:t>
      </w:r>
    </w:p>
    <w:p w:rsidR="006F1DE4" w:rsidRDefault="00CA494A">
      <w:pPr>
        <w:autoSpaceDE w:val="0"/>
        <w:autoSpaceDN w:val="0"/>
        <w:adjustRightInd w:val="0"/>
        <w:spacing w:after="0" w:line="240" w:lineRule="auto"/>
      </w:pPr>
      <w:r>
        <w:t xml:space="preserve">The system high frequency clock (HFCLK) </w:t>
      </w:r>
      <w:proofErr w:type="gramStart"/>
      <w:r>
        <w:t>is derived</w:t>
      </w:r>
      <w:proofErr w:type="gramEnd"/>
      <w:r>
        <w:t xml:space="preserve"> from 16MHz quartz crystal. It is Ultra miniature size low profile SMD crystal. This crystal </w:t>
      </w:r>
      <w:proofErr w:type="gramStart"/>
      <w:r>
        <w:t>is shielded</w:t>
      </w:r>
      <w:proofErr w:type="gramEnd"/>
      <w:r>
        <w:t xml:space="preserve"> by metal shield so that it will not export any high frequency from the module. HFCLK is required for Radio, UART, and Timer. </w:t>
      </w:r>
    </w:p>
    <w:p w:rsidR="006F1DE4" w:rsidRDefault="006F1DE4">
      <w:pPr>
        <w:autoSpaceDE w:val="0"/>
        <w:autoSpaceDN w:val="0"/>
        <w:adjustRightInd w:val="0"/>
        <w:spacing w:after="0" w:line="240" w:lineRule="auto"/>
      </w:pPr>
    </w:p>
    <w:p w:rsidR="006F1DE4" w:rsidRDefault="00CA494A">
      <w:pPr>
        <w:rPr>
          <w:u w:val="single"/>
        </w:rPr>
      </w:pPr>
      <w:r>
        <w:rPr>
          <w:u w:val="single"/>
        </w:rPr>
        <w:t>Specification of 16MHz Crystal</w:t>
      </w:r>
    </w:p>
    <w:tbl>
      <w:tblPr>
        <w:tblW w:w="4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800"/>
      </w:tblGrid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Part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16 MHz Crystal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Frequency Stability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+/‐30ppm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Frequency Tolerance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+/‐20ppm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Load Capacitance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10pF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lastRenderedPageBreak/>
              <w:t>Motional Resistance(ESR)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80 Ohm</w:t>
            </w:r>
          </w:p>
        </w:tc>
      </w:tr>
    </w:tbl>
    <w:p w:rsidR="00F8293E" w:rsidRDefault="00F8293E">
      <w:pPr>
        <w:rPr>
          <w:b/>
        </w:rPr>
      </w:pPr>
    </w:p>
    <w:p w:rsidR="006F1DE4" w:rsidRDefault="00CA494A">
      <w:pPr>
        <w:rPr>
          <w:b/>
        </w:rPr>
      </w:pPr>
      <w:r>
        <w:rPr>
          <w:b/>
        </w:rPr>
        <w:t>C]</w:t>
      </w:r>
      <w:r>
        <w:rPr>
          <w:b/>
        </w:rPr>
        <w:tab/>
        <w:t>SLOW CLOCK (32 KHZ) SOURCE REQUIREMENTS</w:t>
      </w:r>
    </w:p>
    <w:p w:rsidR="006F1DE4" w:rsidRDefault="00CA494A">
      <w:r>
        <w:t xml:space="preserve"> Two 32-kHz oscillators are available in the device as clock sources for the 32-kHz clock: </w:t>
      </w:r>
    </w:p>
    <w:p w:rsidR="006F1DE4" w:rsidRDefault="00CA494A">
      <w:r>
        <w:t xml:space="preserve">• 32-kHz XOSC – External Crystal Oscillator </w:t>
      </w:r>
    </w:p>
    <w:p w:rsidR="006F1DE4" w:rsidRDefault="00CA494A">
      <w:r>
        <w:t>• 32-kHz RCOSC – Internal RC Oscillator</w:t>
      </w:r>
    </w:p>
    <w:p w:rsidR="002A5C3E" w:rsidRDefault="00CA494A">
      <w:r>
        <w:t>By default, after a reset, the 32-kHz RCOSC is enabled and selected as the 32-kHz clock source. The RCOSC consumes less power, but is less accurate compared to the 32-kHz XOSC. The chosen 32-kHz clock source drives the Sleep Timer, generates the tick for the Watchdog Timer, and is used as a strobe in Timer 2 to calculate the Sleep Timer sleep time. The crystal is required for accurate sleep timing, so it is</w:t>
      </w:r>
      <w:bookmarkStart w:id="2" w:name="_GoBack"/>
      <w:bookmarkEnd w:id="2"/>
      <w:r>
        <w:t xml:space="preserve"> only needed to for the module be BLE certified when using low power modes.</w:t>
      </w:r>
    </w:p>
    <w:p w:rsidR="002A5C3E" w:rsidRDefault="002A5C3E" w:rsidP="002A5C3E">
      <w:r>
        <w:t xml:space="preserve">User can connect external </w:t>
      </w:r>
      <w:r w:rsidR="0071798D">
        <w:t>32 KHz</w:t>
      </w:r>
      <w:r>
        <w:t xml:space="preserve"> crystal on Pin# 20 and 21 of SRU233 for accurate clock, if required. </w:t>
      </w:r>
    </w:p>
    <w:p w:rsidR="006F1DE4" w:rsidRDefault="00CA494A">
      <w:r>
        <w:t xml:space="preserve">This clock </w:t>
      </w:r>
      <w:proofErr w:type="gramStart"/>
      <w:r>
        <w:t>is not used</w:t>
      </w:r>
      <w:proofErr w:type="gramEnd"/>
      <w:r>
        <w:t xml:space="preserve"> for radio frequency generation.</w:t>
      </w:r>
    </w:p>
    <w:p w:rsidR="006F1DE4" w:rsidRDefault="00CA494A">
      <w:pPr>
        <w:rPr>
          <w:u w:val="single"/>
        </w:rPr>
      </w:pPr>
      <w:r>
        <w:rPr>
          <w:u w:val="single"/>
        </w:rPr>
        <w:t xml:space="preserve">Specification of </w:t>
      </w:r>
      <w:r w:rsidR="002A5C3E">
        <w:rPr>
          <w:u w:val="single"/>
        </w:rPr>
        <w:t xml:space="preserve">External </w:t>
      </w:r>
      <w:r>
        <w:rPr>
          <w:u w:val="single"/>
        </w:rPr>
        <w:t>32 KHz Crystal</w:t>
      </w:r>
    </w:p>
    <w:tbl>
      <w:tblPr>
        <w:tblW w:w="4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800"/>
      </w:tblGrid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Part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32 KHz Crystal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Frequency Stability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+/‐30ppm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Frequency Tolerance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+/‐20ppm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Load Capacitance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10pF</w:t>
            </w:r>
          </w:p>
        </w:tc>
      </w:tr>
      <w:tr w:rsidR="006F1DE4">
        <w:trPr>
          <w:jc w:val="center"/>
        </w:trPr>
        <w:tc>
          <w:tcPr>
            <w:tcW w:w="2335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Motional Resistance(ESR)</w:t>
            </w:r>
          </w:p>
        </w:tc>
        <w:tc>
          <w:tcPr>
            <w:tcW w:w="1800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70 </w:t>
            </w:r>
            <w:proofErr w:type="spellStart"/>
            <w:r>
              <w:rPr>
                <w:rFonts w:cs="Calibri"/>
                <w:sz w:val="18"/>
                <w:szCs w:val="18"/>
              </w:rPr>
              <w:t>kOhm</w:t>
            </w:r>
            <w:proofErr w:type="spellEnd"/>
          </w:p>
        </w:tc>
      </w:tr>
    </w:tbl>
    <w:p w:rsidR="006F1DE4" w:rsidRDefault="00CA494A">
      <w:pPr>
        <w:rPr>
          <w:b/>
        </w:rPr>
      </w:pPr>
      <w:r>
        <w:rPr>
          <w:b/>
        </w:rPr>
        <w:t>D]</w:t>
      </w:r>
      <w:r>
        <w:rPr>
          <w:b/>
        </w:rPr>
        <w:tab/>
        <w:t>Debug I/O</w:t>
      </w:r>
    </w:p>
    <w:p w:rsidR="006F1DE4" w:rsidRDefault="00CA494A">
      <w:r>
        <w:t xml:space="preserve">SWDCLK and SWDIO are required for programming and Debugging of module. </w:t>
      </w:r>
    </w:p>
    <w:p w:rsidR="006F1DE4" w:rsidRDefault="00CA494A">
      <w:pPr>
        <w:rPr>
          <w:b/>
        </w:rPr>
      </w:pPr>
      <w:r>
        <w:rPr>
          <w:b/>
        </w:rPr>
        <w:t>E]</w:t>
      </w:r>
      <w:r>
        <w:rPr>
          <w:b/>
        </w:rPr>
        <w:tab/>
        <w:t>GPIO</w:t>
      </w:r>
    </w:p>
    <w:p w:rsidR="006F1DE4" w:rsidRDefault="00CA494A">
      <w:pPr>
        <w:autoSpaceDE w:val="0"/>
        <w:autoSpaceDN w:val="0"/>
        <w:adjustRightInd w:val="0"/>
        <w:spacing w:after="0" w:line="240" w:lineRule="auto"/>
      </w:pPr>
      <w:r>
        <w:t>The general purpose I/O is organized as one port with up to 32 I/</w:t>
      </w:r>
      <w:proofErr w:type="spellStart"/>
      <w:r>
        <w:t>Os</w:t>
      </w:r>
      <w:proofErr w:type="spellEnd"/>
      <w:r>
        <w:t xml:space="preserve"> (dependent on package) enabling</w:t>
      </w:r>
    </w:p>
    <w:p w:rsidR="006F1DE4" w:rsidRDefault="00CA494A">
      <w:pPr>
        <w:autoSpaceDE w:val="0"/>
        <w:autoSpaceDN w:val="0"/>
        <w:adjustRightInd w:val="0"/>
        <w:spacing w:after="0" w:line="240" w:lineRule="auto"/>
      </w:pPr>
      <w:proofErr w:type="gramStart"/>
      <w:r>
        <w:t>access</w:t>
      </w:r>
      <w:proofErr w:type="gramEnd"/>
      <w:r>
        <w:t xml:space="preserve"> and control of up to 32 pins through one port. Each GPIO can be accessed individually with the</w:t>
      </w:r>
    </w:p>
    <w:p w:rsidR="006F1DE4" w:rsidRDefault="00CA494A">
      <w:pPr>
        <w:autoSpaceDE w:val="0"/>
        <w:autoSpaceDN w:val="0"/>
        <w:adjustRightInd w:val="0"/>
        <w:spacing w:after="0" w:line="240" w:lineRule="auto"/>
      </w:pPr>
      <w:proofErr w:type="gramStart"/>
      <w:r>
        <w:t>following</w:t>
      </w:r>
      <w:proofErr w:type="gramEnd"/>
      <w:r>
        <w:t xml:space="preserve"> user configurable features:</w:t>
      </w:r>
    </w:p>
    <w:p w:rsidR="006F1DE4" w:rsidRDefault="00CA494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Input/output direction</w:t>
      </w:r>
    </w:p>
    <w:p w:rsidR="006F1DE4" w:rsidRDefault="00CA494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Output drive strength</w:t>
      </w:r>
    </w:p>
    <w:p w:rsidR="006F1DE4" w:rsidRDefault="00CA494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Internal pull-up and pull-down resistors</w:t>
      </w:r>
    </w:p>
    <w:p w:rsidR="006F1DE4" w:rsidRDefault="00CA494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Wake-up from high or low level triggers on all pins</w:t>
      </w:r>
    </w:p>
    <w:p w:rsidR="006F1DE4" w:rsidRDefault="00CA494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Trigger interrupt on all pins</w:t>
      </w:r>
    </w:p>
    <w:p w:rsidR="006F1DE4" w:rsidRDefault="00CA494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All pins can be individually configured to carry serial interface or quadrature demodulator Signals</w:t>
      </w:r>
    </w:p>
    <w:p w:rsidR="006F1DE4" w:rsidRDefault="00CA494A">
      <w:pPr>
        <w:pStyle w:val="ListParagraph1"/>
        <w:numPr>
          <w:ilvl w:val="0"/>
          <w:numId w:val="5"/>
        </w:numPr>
        <w:spacing w:after="160" w:line="259" w:lineRule="auto"/>
      </w:pPr>
      <w:r>
        <w:lastRenderedPageBreak/>
        <w:t xml:space="preserve">29# of Digital Input/output are available. </w:t>
      </w:r>
    </w:p>
    <w:p w:rsidR="006F1DE4" w:rsidRDefault="00CA494A">
      <w:pPr>
        <w:rPr>
          <w:b/>
        </w:rPr>
      </w:pPr>
      <w:r>
        <w:rPr>
          <w:b/>
        </w:rPr>
        <w:t>F]</w:t>
      </w:r>
      <w:r>
        <w:rPr>
          <w:b/>
        </w:rPr>
        <w:tab/>
        <w:t>Antenna</w:t>
      </w:r>
    </w:p>
    <w:p w:rsidR="006F1DE4" w:rsidRDefault="00CA494A">
      <w:r>
        <w:t xml:space="preserve">Ceramic Chip Antenna is used. </w:t>
      </w:r>
    </w:p>
    <w:p w:rsidR="006F1DE4" w:rsidRDefault="00286117">
      <w:pPr>
        <w:pStyle w:val="Heading1"/>
        <w:numPr>
          <w:ilvl w:val="0"/>
          <w:numId w:val="3"/>
        </w:numPr>
        <w:spacing w:before="0"/>
        <w:rPr>
          <w:rFonts w:ascii="Calibri" w:hAnsi="Calibri"/>
        </w:rPr>
      </w:pPr>
      <w:bookmarkStart w:id="3" w:name="_Toc426475855"/>
      <w:r>
        <w:rPr>
          <w:rFonts w:ascii="Calibri" w:hAnsi="Calibri"/>
        </w:rPr>
        <w:br w:type="page"/>
      </w:r>
      <w:r w:rsidR="00CA494A">
        <w:rPr>
          <w:rFonts w:ascii="Calibri" w:hAnsi="Calibri"/>
        </w:rPr>
        <w:lastRenderedPageBreak/>
        <w:t>Internal block diagram of nRF51422</w:t>
      </w:r>
      <w:bookmarkEnd w:id="3"/>
    </w:p>
    <w:p w:rsidR="006F1DE4" w:rsidRDefault="00CA494A">
      <w:pPr>
        <w:spacing w:before="120" w:after="0"/>
        <w:ind w:left="720"/>
      </w:pPr>
      <w:r>
        <w:t>- The module utilizes a Nordic Semiconductor nRF51422 microcontroller.</w:t>
      </w:r>
    </w:p>
    <w:p w:rsidR="006F1DE4" w:rsidRDefault="002A5C3E">
      <w:r>
        <w:pict>
          <v:shape id="Picture 1" o:spid="_x0000_i1026" type="#_x0000_t75" style="width:451.2pt;height:493.8pt">
            <v:imagedata r:id="rId10" o:title=""/>
          </v:shape>
        </w:pict>
      </w:r>
    </w:p>
    <w:p w:rsidR="006F1DE4" w:rsidRDefault="00CA494A">
      <w:pPr>
        <w:pStyle w:val="Caption"/>
        <w:jc w:val="center"/>
      </w:pPr>
      <w:r>
        <w:t xml:space="preserve">Figure </w:t>
      </w:r>
      <w:fldSimple w:instr=" SEQ Figure \* ARABIC ">
        <w:r>
          <w:t>2</w:t>
        </w:r>
      </w:fldSimple>
      <w:r>
        <w:t xml:space="preserve"> Internal Block diagram of nRF51422</w:t>
      </w:r>
    </w:p>
    <w:p w:rsidR="006F1DE4" w:rsidRDefault="00CA494A">
      <w:pPr>
        <w:pStyle w:val="Heading1"/>
        <w:numPr>
          <w:ilvl w:val="0"/>
          <w:numId w:val="3"/>
        </w:numPr>
        <w:spacing w:before="120"/>
        <w:rPr>
          <w:rFonts w:ascii="Calibri" w:hAnsi="Calibri"/>
        </w:rPr>
      </w:pPr>
      <w:bookmarkStart w:id="4" w:name="_Toc426475856"/>
      <w:r>
        <w:rPr>
          <w:rFonts w:ascii="Calibri" w:hAnsi="Calibri"/>
        </w:rPr>
        <w:lastRenderedPageBreak/>
        <w:t>Pin out Detail of SRU233 module</w:t>
      </w:r>
      <w:bookmarkEnd w:id="4"/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1844"/>
        <w:gridCol w:w="1701"/>
        <w:gridCol w:w="4804"/>
      </w:tblGrid>
      <w:tr w:rsidR="006F1DE4">
        <w:trPr>
          <w:jc w:val="center"/>
        </w:trPr>
        <w:tc>
          <w:tcPr>
            <w:tcW w:w="939" w:type="dxa"/>
            <w:shd w:val="clear" w:color="auto" w:fill="00B0F0"/>
          </w:tcPr>
          <w:p w:rsidR="006F1DE4" w:rsidRDefault="00CA494A">
            <w:pPr>
              <w:pStyle w:val="ListParagraph11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Sr. number</w:t>
            </w:r>
          </w:p>
        </w:tc>
        <w:tc>
          <w:tcPr>
            <w:tcW w:w="1844" w:type="dxa"/>
            <w:shd w:val="clear" w:color="auto" w:fill="00B0F0"/>
          </w:tcPr>
          <w:p w:rsidR="006F1DE4" w:rsidRDefault="00CA494A">
            <w:pPr>
              <w:pStyle w:val="ListParagraph11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Pin Name</w:t>
            </w:r>
          </w:p>
        </w:tc>
        <w:tc>
          <w:tcPr>
            <w:tcW w:w="1701" w:type="dxa"/>
            <w:shd w:val="clear" w:color="auto" w:fill="00B0F0"/>
          </w:tcPr>
          <w:p w:rsidR="006F1DE4" w:rsidRDefault="00CA494A">
            <w:pPr>
              <w:pStyle w:val="ListParagraph11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Pin Type</w:t>
            </w:r>
          </w:p>
        </w:tc>
        <w:tc>
          <w:tcPr>
            <w:tcW w:w="4804" w:type="dxa"/>
            <w:shd w:val="clear" w:color="auto" w:fill="00B0F0"/>
          </w:tcPr>
          <w:p w:rsidR="006F1DE4" w:rsidRDefault="00CA494A">
            <w:pPr>
              <w:pStyle w:val="ListParagraph11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P0.01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AIN2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 xml:space="preserve">Digital I/O 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Input/output and Analog Input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input 2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P0.00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AREF0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reference input 0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P0.30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P0.03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AIN4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input 4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P0.05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AIN6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input 6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6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P0.07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7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P0.08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8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P0.11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I/O pin.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9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P0.13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P0.16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trHeight w:val="248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rPr>
                <w:color w:val="000000"/>
              </w:rPr>
              <w:t>SWDIO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reset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autoSpaceDE w:val="0"/>
              <w:autoSpaceDN w:val="0"/>
              <w:adjustRightInd w:val="0"/>
              <w:spacing w:after="0" w:line="240" w:lineRule="auto"/>
            </w:pPr>
            <w:r>
              <w:t>System reset (active low). Also hardware debug and flash programming I/O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SWDCLK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Hardware debug and flash programming I/O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13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GND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 Pin must be connected to solid GND plane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14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GND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 Pin must be connected to solid GND plane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15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GND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 Pin must be connected to solid GND plane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16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GND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 Pin must be connected to solid GND plane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AVDD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 xml:space="preserve">Power 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power supply (Radio)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AVDD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 xml:space="preserve">Power 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power supply (Radio)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19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GND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Ground Pin must be connected to solid GND plane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XL2_32Khz/P0.26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Output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Connection for 32.768 kHz crystal</w:t>
            </w:r>
          </w:p>
          <w:p w:rsidR="006F1DE4" w:rsidRDefault="006F1DE4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21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XL1_32Khz/P0.27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Connection for 32.768 kHz crystal or external 32.768 kHz clock reference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22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P0.28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23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P0.29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24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rPr>
                <w:color w:val="000000"/>
              </w:rPr>
              <w:t>VCC_NRF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Power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Power Supply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25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VCC_NRF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Power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Power Supply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26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P0.02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AIN3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input 3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27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P0.04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AIN5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input 5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28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P0.06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AIN7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lastRenderedPageBreak/>
              <w:t>AREF1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lastRenderedPageBreak/>
              <w:t>Digital I/O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Analog input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lastRenderedPageBreak/>
              <w:t>Analog input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lastRenderedPageBreak/>
              <w:t>General Purpose Digital Input/output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ADC/LPCOMP input 7</w:t>
            </w:r>
          </w:p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lastRenderedPageBreak/>
              <w:t>ADC/LPCOMP reference input 1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lastRenderedPageBreak/>
              <w:t>29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P0.10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trHeight w:val="90"/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30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P0.09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31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P0.12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32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P0.14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33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P0.15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34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P0.17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35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P0.18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36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P0.22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37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P0.21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38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P0.23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39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P0.25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40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P0.24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41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P0.20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42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P0.19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Digital I/O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General Purpose Digital Input/ Output</w:t>
            </w:r>
          </w:p>
        </w:tc>
      </w:tr>
      <w:tr w:rsidR="006F1DE4">
        <w:trPr>
          <w:jc w:val="center"/>
        </w:trPr>
        <w:tc>
          <w:tcPr>
            <w:tcW w:w="939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43</w:t>
            </w:r>
          </w:p>
        </w:tc>
        <w:tc>
          <w:tcPr>
            <w:tcW w:w="1844" w:type="dxa"/>
            <w:vAlign w:val="center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>GND</w:t>
            </w:r>
          </w:p>
        </w:tc>
        <w:tc>
          <w:tcPr>
            <w:tcW w:w="1701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 xml:space="preserve"> Ground</w:t>
            </w:r>
          </w:p>
        </w:tc>
        <w:tc>
          <w:tcPr>
            <w:tcW w:w="4804" w:type="dxa"/>
          </w:tcPr>
          <w:p w:rsidR="006F1DE4" w:rsidRDefault="00CA494A">
            <w:pPr>
              <w:pStyle w:val="ListParagraph11"/>
              <w:spacing w:after="0" w:line="240" w:lineRule="auto"/>
              <w:ind w:left="0"/>
            </w:pPr>
            <w:r>
              <w:t xml:space="preserve">Ground Pin must be connected to solid </w:t>
            </w:r>
            <w:proofErr w:type="spellStart"/>
            <w:r>
              <w:t>gnd</w:t>
            </w:r>
            <w:proofErr w:type="spellEnd"/>
            <w:r>
              <w:t xml:space="preserve"> plane</w:t>
            </w:r>
          </w:p>
        </w:tc>
      </w:tr>
    </w:tbl>
    <w:p w:rsidR="006F1DE4" w:rsidRDefault="00CA494A">
      <w:pPr>
        <w:pStyle w:val="Caption"/>
        <w:jc w:val="center"/>
      </w:pPr>
      <w:r>
        <w:t xml:space="preserve">Table </w:t>
      </w:r>
      <w:fldSimple w:instr=" SEQ Table \* ARABIC ">
        <w:r>
          <w:t>1</w:t>
        </w:r>
      </w:fldSimple>
      <w:r>
        <w:t xml:space="preserve"> Pin out detail table</w:t>
      </w: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>
      <w:pPr>
        <w:rPr>
          <w:b/>
          <w:sz w:val="28"/>
          <w:szCs w:val="28"/>
        </w:rPr>
      </w:pPr>
    </w:p>
    <w:p w:rsidR="006F1DE4" w:rsidRDefault="006F1DE4"/>
    <w:p w:rsidR="006F1DE4" w:rsidRDefault="006F1DE4"/>
    <w:p w:rsidR="006F1DE4" w:rsidRDefault="00CA494A">
      <w:pPr>
        <w:rPr>
          <w:b/>
          <w:bCs/>
          <w:color w:val="365F90"/>
          <w:sz w:val="28"/>
          <w:szCs w:val="28"/>
        </w:rPr>
      </w:pPr>
      <w:r>
        <w:br w:type="page"/>
      </w:r>
    </w:p>
    <w:p w:rsidR="006F1DE4" w:rsidRDefault="00CA494A">
      <w:pPr>
        <w:pStyle w:val="Heading1"/>
        <w:numPr>
          <w:ilvl w:val="0"/>
          <w:numId w:val="3"/>
        </w:numPr>
        <w:spacing w:before="120"/>
        <w:rPr>
          <w:rFonts w:ascii="Calibri" w:hAnsi="Calibri"/>
        </w:rPr>
      </w:pPr>
      <w:bookmarkStart w:id="5" w:name="_Toc426475857"/>
      <w:r>
        <w:rPr>
          <w:rFonts w:ascii="Calibri" w:hAnsi="Calibri"/>
        </w:rPr>
        <w:t>Revision History</w:t>
      </w:r>
      <w:bookmarkEnd w:id="5"/>
    </w:p>
    <w:p w:rsidR="006F1DE4" w:rsidRDefault="006F1DE4"/>
    <w:tbl>
      <w:tblPr>
        <w:tblW w:w="95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791"/>
        <w:gridCol w:w="1379"/>
        <w:gridCol w:w="5058"/>
      </w:tblGrid>
      <w:tr w:rsidR="006F1DE4">
        <w:tc>
          <w:tcPr>
            <w:tcW w:w="1348" w:type="dxa"/>
            <w:shd w:val="clear" w:color="auto" w:fill="00B0F0"/>
          </w:tcPr>
          <w:p w:rsidR="006F1DE4" w:rsidRDefault="00CA494A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Revision</w:t>
            </w:r>
          </w:p>
        </w:tc>
        <w:tc>
          <w:tcPr>
            <w:tcW w:w="1791" w:type="dxa"/>
            <w:shd w:val="clear" w:color="auto" w:fill="00B0F0"/>
          </w:tcPr>
          <w:p w:rsidR="006F1DE4" w:rsidRDefault="00CA494A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379" w:type="dxa"/>
            <w:shd w:val="clear" w:color="auto" w:fill="00B0F0"/>
          </w:tcPr>
          <w:p w:rsidR="006F1DE4" w:rsidRDefault="00CA494A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Author</w:t>
            </w:r>
          </w:p>
        </w:tc>
        <w:tc>
          <w:tcPr>
            <w:tcW w:w="5058" w:type="dxa"/>
            <w:shd w:val="clear" w:color="auto" w:fill="00B0F0"/>
          </w:tcPr>
          <w:p w:rsidR="006F1DE4" w:rsidRDefault="00CA494A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Modification/Remarks</w:t>
            </w:r>
          </w:p>
        </w:tc>
      </w:tr>
      <w:tr w:rsidR="006F1DE4">
        <w:tc>
          <w:tcPr>
            <w:tcW w:w="1348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01.01.01</w:t>
            </w:r>
          </w:p>
        </w:tc>
        <w:tc>
          <w:tcPr>
            <w:tcW w:w="1791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Aug 04, 2015 </w:t>
            </w:r>
          </w:p>
        </w:tc>
        <w:tc>
          <w:tcPr>
            <w:tcW w:w="1379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Kinjal</w:t>
            </w:r>
          </w:p>
        </w:tc>
        <w:tc>
          <w:tcPr>
            <w:tcW w:w="5058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Initial release for module SRU233</w:t>
            </w:r>
          </w:p>
        </w:tc>
      </w:tr>
      <w:tr w:rsidR="006F1DE4">
        <w:trPr>
          <w:trHeight w:val="253"/>
        </w:trPr>
        <w:tc>
          <w:tcPr>
            <w:tcW w:w="1348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01.01.02</w:t>
            </w:r>
          </w:p>
        </w:tc>
        <w:tc>
          <w:tcPr>
            <w:tcW w:w="1791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Aug 14, 2015</w:t>
            </w:r>
          </w:p>
        </w:tc>
        <w:tc>
          <w:tcPr>
            <w:tcW w:w="1379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Mitesh </w:t>
            </w:r>
          </w:p>
        </w:tc>
        <w:tc>
          <w:tcPr>
            <w:tcW w:w="5058" w:type="dxa"/>
          </w:tcPr>
          <w:p w:rsidR="006F1DE4" w:rsidRDefault="00CA494A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Update  FCC ID detail </w:t>
            </w:r>
          </w:p>
        </w:tc>
      </w:tr>
    </w:tbl>
    <w:p w:rsidR="006F1DE4" w:rsidRDefault="006F1DE4">
      <w:pPr>
        <w:rPr>
          <w:sz w:val="28"/>
          <w:szCs w:val="28"/>
        </w:rPr>
      </w:pPr>
    </w:p>
    <w:p w:rsidR="006F1DE4" w:rsidRDefault="006F1DE4">
      <w:pPr>
        <w:rPr>
          <w:sz w:val="28"/>
          <w:szCs w:val="28"/>
        </w:rPr>
      </w:pPr>
    </w:p>
    <w:p w:rsidR="006F1DE4" w:rsidRDefault="006F1DE4"/>
    <w:p w:rsidR="006F1DE4" w:rsidRDefault="006F1DE4"/>
    <w:sectPr w:rsidR="006F1DE4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57" w:rsidRDefault="006F5557">
      <w:pPr>
        <w:spacing w:after="0" w:line="240" w:lineRule="auto"/>
      </w:pPr>
      <w:r>
        <w:separator/>
      </w:r>
    </w:p>
  </w:endnote>
  <w:endnote w:type="continuationSeparator" w:id="0">
    <w:p w:rsidR="006F5557" w:rsidRDefault="006F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DE4" w:rsidRDefault="006F1D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57" w:rsidRDefault="006F5557">
      <w:pPr>
        <w:spacing w:after="0" w:line="240" w:lineRule="auto"/>
      </w:pPr>
      <w:r>
        <w:separator/>
      </w:r>
    </w:p>
  </w:footnote>
  <w:footnote w:type="continuationSeparator" w:id="0">
    <w:p w:rsidR="006F5557" w:rsidRDefault="006F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DE4" w:rsidRDefault="006F1DE4">
    <w:pPr>
      <w:pStyle w:val="Header"/>
    </w:pPr>
  </w:p>
  <w:tbl>
    <w:tblPr>
      <w:tblW w:w="765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676"/>
      <w:gridCol w:w="2974"/>
    </w:tblGrid>
    <w:tr w:rsidR="006F1DE4">
      <w:trPr>
        <w:jc w:val="center"/>
      </w:trPr>
      <w:tc>
        <w:tcPr>
          <w:tcW w:w="4676" w:type="dxa"/>
        </w:tcPr>
        <w:p w:rsidR="006F1DE4" w:rsidRDefault="00CA494A">
          <w:pPr>
            <w:pStyle w:val="Header"/>
          </w:pPr>
          <w:r>
            <w:t>Document Name : SRU233_Block Diagram Flow</w:t>
          </w:r>
        </w:p>
      </w:tc>
      <w:tc>
        <w:tcPr>
          <w:tcW w:w="2974" w:type="dxa"/>
        </w:tcPr>
        <w:p w:rsidR="006F1DE4" w:rsidRDefault="00CA494A">
          <w:pPr>
            <w:pStyle w:val="Header"/>
          </w:pPr>
          <w:r>
            <w:t>Rev.: 01.01.02</w:t>
          </w:r>
        </w:p>
      </w:tc>
    </w:tr>
    <w:tr w:rsidR="006F1DE4">
      <w:trPr>
        <w:jc w:val="center"/>
      </w:trPr>
      <w:tc>
        <w:tcPr>
          <w:tcW w:w="4676" w:type="dxa"/>
        </w:tcPr>
        <w:p w:rsidR="006F1DE4" w:rsidRDefault="00CA494A">
          <w:pPr>
            <w:pStyle w:val="Header"/>
          </w:pPr>
          <w:r>
            <w:t>Product Name: High Range BLE/ANT Module</w:t>
          </w:r>
        </w:p>
      </w:tc>
      <w:tc>
        <w:tcPr>
          <w:tcW w:w="2974" w:type="dxa"/>
        </w:tcPr>
        <w:p w:rsidR="006F1DE4" w:rsidRDefault="00CA494A">
          <w:pPr>
            <w:spacing w:after="0" w:line="240" w:lineRule="auto"/>
          </w:pPr>
          <w:r>
            <w:t xml:space="preserve">Page : 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81641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fldSimple w:instr=" NUMPAGES  ">
            <w:r w:rsidR="00B81641">
              <w:rPr>
                <w:noProof/>
              </w:rPr>
              <w:t>11</w:t>
            </w:r>
          </w:fldSimple>
          <w:r>
            <w:t xml:space="preserve"> Confidential</w:t>
          </w:r>
        </w:p>
      </w:tc>
    </w:tr>
    <w:tr w:rsidR="006F1DE4">
      <w:trPr>
        <w:jc w:val="center"/>
      </w:trPr>
      <w:tc>
        <w:tcPr>
          <w:tcW w:w="4676" w:type="dxa"/>
        </w:tcPr>
        <w:p w:rsidR="006F1DE4" w:rsidRDefault="00CA494A">
          <w:pPr>
            <w:pStyle w:val="Header"/>
          </w:pPr>
          <w:proofErr w:type="gramStart"/>
          <w:r>
            <w:t>Mfg: Delphian Systems LLC.</w:t>
          </w:r>
          <w:proofErr w:type="gramEnd"/>
        </w:p>
      </w:tc>
      <w:tc>
        <w:tcPr>
          <w:tcW w:w="2974" w:type="dxa"/>
        </w:tcPr>
        <w:p w:rsidR="006F1DE4" w:rsidRDefault="00CA494A">
          <w:pPr>
            <w:pStyle w:val="Header"/>
          </w:pPr>
          <w:r>
            <w:t>Date : Aug 14, 2015</w:t>
          </w:r>
        </w:p>
      </w:tc>
    </w:tr>
    <w:tr w:rsidR="006F1DE4">
      <w:trPr>
        <w:jc w:val="center"/>
      </w:trPr>
      <w:tc>
        <w:tcPr>
          <w:tcW w:w="4676" w:type="dxa"/>
        </w:tcPr>
        <w:p w:rsidR="006F1DE4" w:rsidRDefault="00CA494A">
          <w:pPr>
            <w:pStyle w:val="Header"/>
          </w:pPr>
          <w:r>
            <w:t>Model #: SRU233</w:t>
          </w:r>
        </w:p>
      </w:tc>
      <w:tc>
        <w:tcPr>
          <w:tcW w:w="2974" w:type="dxa"/>
        </w:tcPr>
        <w:p w:rsidR="006F1DE4" w:rsidRDefault="00CA494A">
          <w:pPr>
            <w:pStyle w:val="Header"/>
            <w:rPr>
              <w:color w:val="FF0000"/>
            </w:rPr>
          </w:pPr>
          <w:r>
            <w:rPr>
              <w:color w:val="FF0000"/>
            </w:rPr>
            <w:t>FCC ID: 2AEHJSRU233</w:t>
          </w:r>
        </w:p>
      </w:tc>
    </w:tr>
    <w:tr w:rsidR="006F1DE4">
      <w:trPr>
        <w:jc w:val="center"/>
      </w:trPr>
      <w:tc>
        <w:tcPr>
          <w:tcW w:w="4676" w:type="dxa"/>
        </w:tcPr>
        <w:p w:rsidR="006F1DE4" w:rsidRDefault="00CA494A">
          <w:pPr>
            <w:pStyle w:val="Header"/>
            <w:rPr>
              <w:i/>
            </w:rPr>
          </w:pPr>
          <w:r>
            <w:rPr>
              <w:i/>
            </w:rPr>
            <w:t xml:space="preserve">Canada CN# </w:t>
          </w:r>
          <w:r>
            <w:rPr>
              <w:i/>
              <w:color w:val="FF0000"/>
            </w:rPr>
            <w:t>20053</w:t>
          </w:r>
        </w:p>
      </w:tc>
      <w:tc>
        <w:tcPr>
          <w:tcW w:w="2974" w:type="dxa"/>
        </w:tcPr>
        <w:p w:rsidR="006F1DE4" w:rsidRDefault="00CA494A">
          <w:pPr>
            <w:pStyle w:val="Header"/>
            <w:rPr>
              <w:color w:val="FF0000"/>
            </w:rPr>
          </w:pPr>
          <w:r>
            <w:rPr>
              <w:color w:val="FF0000"/>
            </w:rPr>
            <w:t>IC: 20053-SRU233</w:t>
          </w:r>
        </w:p>
      </w:tc>
    </w:tr>
  </w:tbl>
  <w:p w:rsidR="006F1DE4" w:rsidRDefault="006F1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DE4" w:rsidRDefault="006F1D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0336"/>
    <w:multiLevelType w:val="multilevel"/>
    <w:tmpl w:val="02F80336"/>
    <w:lvl w:ilvl="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45" w:hanging="360"/>
      </w:pPr>
    </w:lvl>
    <w:lvl w:ilvl="2" w:tentative="1">
      <w:start w:val="1"/>
      <w:numFmt w:val="lowerRoman"/>
      <w:lvlText w:val="%3."/>
      <w:lvlJc w:val="right"/>
      <w:pPr>
        <w:ind w:left="2565" w:hanging="180"/>
      </w:pPr>
    </w:lvl>
    <w:lvl w:ilvl="3" w:tentative="1">
      <w:start w:val="1"/>
      <w:numFmt w:val="decimal"/>
      <w:lvlText w:val="%4."/>
      <w:lvlJc w:val="left"/>
      <w:pPr>
        <w:ind w:left="3285" w:hanging="360"/>
      </w:pPr>
    </w:lvl>
    <w:lvl w:ilvl="4" w:tentative="1">
      <w:start w:val="1"/>
      <w:numFmt w:val="lowerLetter"/>
      <w:lvlText w:val="%5."/>
      <w:lvlJc w:val="left"/>
      <w:pPr>
        <w:ind w:left="4005" w:hanging="360"/>
      </w:pPr>
    </w:lvl>
    <w:lvl w:ilvl="5" w:tentative="1">
      <w:start w:val="1"/>
      <w:numFmt w:val="lowerRoman"/>
      <w:lvlText w:val="%6."/>
      <w:lvlJc w:val="right"/>
      <w:pPr>
        <w:ind w:left="4725" w:hanging="180"/>
      </w:pPr>
    </w:lvl>
    <w:lvl w:ilvl="6" w:tentative="1">
      <w:start w:val="1"/>
      <w:numFmt w:val="decimal"/>
      <w:lvlText w:val="%7."/>
      <w:lvlJc w:val="left"/>
      <w:pPr>
        <w:ind w:left="5445" w:hanging="360"/>
      </w:pPr>
    </w:lvl>
    <w:lvl w:ilvl="7" w:tentative="1">
      <w:start w:val="1"/>
      <w:numFmt w:val="lowerLetter"/>
      <w:lvlText w:val="%8."/>
      <w:lvlJc w:val="left"/>
      <w:pPr>
        <w:ind w:left="6165" w:hanging="360"/>
      </w:pPr>
    </w:lvl>
    <w:lvl w:ilvl="8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A2B0AC4"/>
    <w:multiLevelType w:val="multilevel"/>
    <w:tmpl w:val="1A2B0A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23724"/>
    <w:multiLevelType w:val="multilevel"/>
    <w:tmpl w:val="21D237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9178CC"/>
    <w:multiLevelType w:val="multilevel"/>
    <w:tmpl w:val="5F917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1A2D"/>
    <w:multiLevelType w:val="multilevel"/>
    <w:tmpl w:val="72B71A2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1DE4"/>
    <w:rsid w:val="00286117"/>
    <w:rsid w:val="002A5C3E"/>
    <w:rsid w:val="006F1DE4"/>
    <w:rsid w:val="006F5557"/>
    <w:rsid w:val="0071798D"/>
    <w:rsid w:val="00B81641"/>
    <w:rsid w:val="00CA494A"/>
    <w:rsid w:val="00F8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Arrow Connector 8"/>
      </o:rules>
    </o:shapelayout>
  </w:shapeDefaults>
  <w:decimalSymbol w:val="."/>
  <w:listSeparator w:val=","/>
  <w15:docId w15:val="{3ADC26FC-817D-4D1E-9B69-4BC89D9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NoSpacing1">
    <w:name w:val="No Spacing1"/>
    <w:link w:val="NoSpacingChar"/>
    <w:uiPriority w:val="1"/>
    <w:qFormat/>
    <w:rPr>
      <w:rFonts w:ascii="Calibri" w:eastAsia="Calibri" w:hAnsi="Calibri"/>
      <w:sz w:val="22"/>
      <w:szCs w:val="22"/>
    </w:rPr>
  </w:style>
  <w:style w:type="paragraph" w:customStyle="1" w:styleId="ListParagraph11">
    <w:name w:val="List Paragraph11"/>
    <w:basedOn w:val="Normal"/>
    <w:uiPriority w:val="34"/>
    <w:qFormat/>
    <w:pPr>
      <w:ind w:left="720"/>
      <w:contextualSpacing/>
    </w:pPr>
    <w:rPr>
      <w:rFonts w:eastAsia="SimSu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link w:val="Heading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NoSpacingChar">
    <w:name w:val="No Spacing Char"/>
    <w:link w:val="NoSpacing1"/>
    <w:uiPriority w:val="1"/>
    <w:rPr>
      <w:rFonts w:ascii="Calibri" w:eastAsia="Calibri" w:hAnsi="Calibri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SRU233 MODULE</dc:title>
  <dc:subject>01.01.01 Block diagram</dc:subject>
  <dc:creator>Gary Myers, Ashok Hirpara</dc:creator>
  <cp:lastModifiedBy>Jatin Bhatt</cp:lastModifiedBy>
  <cp:revision>5</cp:revision>
  <dcterms:created xsi:type="dcterms:W3CDTF">2015-08-04T12:43:00Z</dcterms:created>
  <dcterms:modified xsi:type="dcterms:W3CDTF">2015-08-14T13:46:00Z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