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73ccb7ad173c21caf24ccfd9fee42f2de92071f"/>
    <w:p>
      <w:pPr>
        <w:pStyle w:val="Heading1"/>
      </w:pPr>
      <w:r>
        <w:t xml:space="preserve">The General Theory of Finite Obstruction Calculus</w:t>
      </w:r>
    </w:p>
    <w:bookmarkStart w:id="20" w:name="publication-main"/>
    <w:p>
      <w:pPr>
        <w:pStyle w:val="Heading2"/>
      </w:pPr>
      <w:r>
        <w:t xml:space="preserve">Publication Main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993_General Theory of Finite Obstruction Calculus(2).md</w:t>
      </w:r>
      <w:r>
        <w:br/>
      </w:r>
      <w:r>
        <w:rPr>
          <w:b/>
          <w:bCs/>
        </w:rPr>
        <w:t xml:space="preserve">Split role:</w:t>
      </w:r>
      <w:r>
        <w:t xml:space="preserve"> </w:t>
      </w:r>
      <w:r>
        <w:t xml:space="preserve">publication-facing main monograph.</w:t>
      </w:r>
      <w:r>
        <w:br/>
      </w:r>
      <w:r>
        <w:rPr>
          <w:b/>
          <w:bCs/>
        </w:rPr>
        <w:t xml:space="preserve">Companion files:</w:t>
      </w:r>
      <w:r>
        <w:t xml:space="preserve"> </w:t>
      </w:r>
      <w:r>
        <w:t xml:space="preserve">proof archive, tertiary workbench, split ledger.</w:t>
      </w:r>
    </w:p>
    <w:p>
      <w:pPr>
        <w:pStyle w:val="BlockText"/>
      </w:pPr>
      <w:r>
        <w:t xml:space="preserve">Every expansion must either prove, descend, or refuse.</w:t>
      </w:r>
    </w:p>
    <w:bookmarkEnd w:id="20"/>
    <w:bookmarkStart w:id="21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We formalize a finite obstruction-repair calculus for contextual symbolic systems. A level is a finite tuple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M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  <m:scr m:val="script"/>
                </m:rP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  <m:scr m:val="script"/>
                </m:rPr>
                <m:t>C</m:t>
              </m:r>
              <m:r>
                <m:rPr>
                  <m:sty m:val="p"/>
                </m:rPr>
                <m:t>,</m:t>
              </m:r>
              <m:r>
                <m:t>ρ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•</m:t>
                  </m:r>
                </m:sup>
              </m:sSup>
              <m:r>
                <m:rPr>
                  <m:sty m:val="p"/>
                </m:rPr>
                <m:t>,</m:t>
              </m:r>
              <m:r>
                <m:t>ω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  <m:scr m:val="script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  <m:scr m:val="script"/>
          </m:rPr>
          <m:t>C</m:t>
        </m:r>
      </m:oMath>
      <w:r>
        <w:t xml:space="preserve"> </w:t>
      </w:r>
      <w:r>
        <w:t xml:space="preserve">are finite categories,</w:t>
      </w:r>
      <w:r>
        <w:t xml:space="preserve"> </w:t>
      </w:r>
      <m:oMath>
        <m:r>
          <m:t>ρ</m:t>
        </m:r>
        <m:r>
          <m:rPr>
            <m:sty m:val="p"/>
          </m:rPr>
          <m:t>:</m:t>
        </m:r>
        <m:r>
          <m:rPr>
            <m:sty m:val="p"/>
            <m:scr m:val="script"/>
          </m:rPr>
          <m:t>C</m:t>
        </m:r>
        <m:r>
          <m:rPr>
            <m:sty m:val="p"/>
          </m:rPr>
          <m:t>→</m:t>
        </m:r>
        <m:r>
          <m:rPr>
            <m:sty m:val="p"/>
          </m:rPr>
          <m:t>E</m:t>
        </m:r>
        <m:r>
          <m:rPr>
            <m:sty m:val="p"/>
          </m:rPr>
          <m:t>n</m:t>
        </m:r>
        <m:r>
          <m:rPr>
            <m:sty m:val="p"/>
          </m:rPr>
          <m:t>d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script"/>
              </m:rPr>
              <m:t>T</m:t>
            </m:r>
          </m:e>
        </m:d>
      </m:oMath>
      <w:r>
        <w:t xml:space="preserve"> </w:t>
      </w:r>
      <w:r>
        <w:t xml:space="preserve">is a context action,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C</m:t>
              </m:r>
            </m:e>
            <m:sup>
              <m:r>
                <m:t>0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</m:lim>
          </m:limUpp>
          <m:sSup>
            <m:e>
              <m:r>
                <m:t>C</m:t>
              </m:r>
            </m:e>
            <m:sup>
              <m:r>
                <m:t>1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lim>
          </m:limUpp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d</m:t>
              </m:r>
            </m:e>
            <m:sub>
              <m:r>
                <m:t>1</m:t>
              </m:r>
            </m:sub>
          </m:sSub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is a finite cochain complex. Exact repairs form</w:t>
      </w:r>
      <w:r>
        <w:t xml:space="preserve"> </w:t>
      </w:r>
      <m:oMath>
        <m:sSup>
          <m:e>
            <m:r>
              <m:t>B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im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; quotient obstruction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Q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;</m:t>
          </m:r>
        </m:oMath>
      </m:oMathPara>
    </w:p>
    <w:p>
      <w:pPr>
        <w:pStyle w:val="FirstParagraph"/>
      </w:pPr>
      <w:r>
        <w:t xml:space="preserve">and closed residual obstruction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H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ker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d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≅</m:t>
          </m:r>
          <m:r>
            <m:rPr>
              <m:sty m:val="p"/>
            </m:rPr>
            <m:t>ker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/</m:t>
          </m:r>
          <m:r>
            <m:rPr>
              <m:sty m:val="p"/>
            </m:rPr>
            <m:t>im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declared finite gauge gives a quotient obstruction magnitude</w:t>
      </w:r>
      <w:r>
        <w:t xml:space="preserve"> </w:t>
      </w:r>
      <m:oMath>
        <m:r>
          <m:t>Φ</m:t>
        </m:r>
      </m:oMath>
      <w:r>
        <w:t xml:space="preserve">. Context-visible non-congruence supplies the lift trigger. Licensed lifts require explicit witness, resolver, minimality, preservation, and no-silent-mutation certificates.</w:t>
      </w:r>
    </w:p>
    <w:bookmarkEnd w:id="21"/>
    <w:bookmarkStart w:id="22" w:name="non-claims"/>
    <w:p>
      <w:pPr>
        <w:pStyle w:val="Heading2"/>
      </w:pPr>
      <w:r>
        <w:t xml:space="preserve">Non-Claims</w:t>
      </w:r>
    </w:p>
    <w:p>
      <w:pPr>
        <w:pStyle w:val="FirstParagraph"/>
      </w:pPr>
      <w:r>
        <w:t xml:space="preserve">This theory does not claim that every truth is finite. It does not claim that every obstruction is physical, cognitive, quantum, analytic, or metaphysical. It does not claim that a positive obstruction mass automatically licenses a lift. It does not claim Langlands, zeta, quantum-information, continuum, consciousness, or empirical-world consequences without a separate finite descent/certificate path.</w:t>
      </w:r>
    </w:p>
    <w:p>
      <w:pPr>
        <w:pStyle w:val="BodyText"/>
      </w:pPr>
      <w:r>
        <w:t xml:space="preserve">The narrow claim is:</w:t>
      </w:r>
    </w:p>
    <w:p>
      <w:pPr>
        <w:pStyle w:val="BodyText"/>
      </w:pPr>
      <w:r>
        <w:rPr>
          <w:b/>
          <w:bCs/>
        </w:rPr>
        <w:t xml:space="preserve">Narrow claim:</w:t>
      </w:r>
      <w:r>
        <w:t xml:space="preserve"> </w:t>
      </w:r>
      <w:r>
        <w:t xml:space="preserve">finite obstruction authority requires finite realization, quotient obstruction, certificates, and terminal/refusal semantics.</w:t>
      </w:r>
    </w:p>
    <w:bookmarkEnd w:id="22"/>
    <w:bookmarkStart w:id="23" w:name="readers-guide"/>
    <w:p>
      <w:pPr>
        <w:pStyle w:val="Heading2"/>
      </w:pPr>
      <w:r>
        <w:t xml:space="preserve">Reader’s Guide</w:t>
      </w:r>
    </w:p>
    <w:p>
      <w:pPr>
        <w:pStyle w:val="FirstParagraph"/>
      </w:pPr>
      <w:r>
        <w:t xml:space="preserve">This main file contains the publication spine. Long proofs, proof variants, implementation details, and speculative/application material have been split 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Main file:</w:t>
      </w:r>
      <w:r>
        <w:t xml:space="preserve"> </w:t>
      </w:r>
      <w:r>
        <w:t xml:space="preserve">definitions, core laws, theorem statements, and minimal proof sketches.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Proof archive:</w:t>
      </w:r>
      <w:r>
        <w:t xml:space="preserve"> </w:t>
      </w:r>
      <w:r>
        <w:t xml:space="preserve">detailed proofs and theorem ledger material.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Tertiary workbench:</w:t>
      </w:r>
      <w:r>
        <w:t xml:space="preserve"> </w:t>
      </w:r>
      <w:r>
        <w:t xml:space="preserve">Omega Engine notes, quantum-information bridges, Langlands/zeta toy models, PDE/complexity/dynamics bridges, epistemic expansions, and open problems.</w:t>
      </w:r>
    </w:p>
    <w:bookmarkEnd w:id="23"/>
    <w:bookmarkStart w:id="24" w:name="X96139d7c91975287513b5f5a419edad6bd49c1a"/>
    <w:p>
      <w:pPr>
        <w:pStyle w:val="Heading2"/>
      </w:pPr>
      <w:r>
        <w:t xml:space="preserve">1. Synchronization with Finite Authority Systems</w:t>
      </w:r>
    </w:p>
    <w:p>
      <w:pPr>
        <w:pStyle w:val="FirstParagraph"/>
      </w:pPr>
      <w:r>
        <w:t xml:space="preserve">The finite obstruction calculus is the local verifier inside the Finite Authority System arena. In the global authority pipeline,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C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  <m:scr m:val="script"/>
                </m:rPr>
                <m:t>R</m:t>
              </m:r>
            </m:lim>
          </m:limUpp>
          <m:r>
            <m:rPr>
              <m:sty m:val="p"/>
              <m:scr m:val="script"/>
            </m:rPr>
            <m:t>C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ρ</m:t>
              </m:r>
            </m:lim>
          </m:limUpp>
          <m:r>
            <m:rPr>
              <m:sty m:val="p"/>
              <m:scr m:val="script"/>
            </m:rPr>
            <m:t>S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r>
            <m:rPr>
              <m:sty m:val="p"/>
              <m:scr m:val="script"/>
            </m:rPr>
            <m:t>P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V</m:t>
              </m:r>
            </m:lim>
          </m:limUpp>
          <m:r>
            <m:rPr>
              <m:sty m:val="p"/>
              <m:scr m:val="double-struck"/>
            </m:rPr>
            <m:t>V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τ</m:t>
              </m:r>
            </m:lim>
          </m:limUpp>
          <m:r>
            <m:rPr>
              <m:sty m:val="p"/>
              <m:scr m:val="double-struck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this monograph supplies the internal logic of the transition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→</m:t>
          </m:r>
          <m:r>
            <m:rPr>
              <m:sty m:val="p"/>
              <m:scr m:val="double-struck"/>
            </m:rPr>
            <m:t>V</m:t>
          </m:r>
          <m:r>
            <m:rPr>
              <m:sty m:val="p"/>
            </m:rPr>
            <m:t>→</m:t>
          </m:r>
          <m:r>
            <m:rPr>
              <m:sty m:val="p"/>
              <m:scr m:val="double-struck"/>
            </m:rPr>
            <m:t>T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No claim in this calculus has theorem-grade or authority-grade status unless it is coupled to a finite realization packet and replayable certificate.</w:t>
      </w:r>
    </w:p>
    <w:bookmarkEnd w:id="24"/>
    <w:bookmarkStart w:id="25" w:name="primitive-distinguishability"/>
    <w:p>
      <w:pPr>
        <w:pStyle w:val="Heading2"/>
      </w:pPr>
      <w:r>
        <w:t xml:space="preserve">2. Primitive Distinguishability</w:t>
      </w:r>
    </w:p>
    <w:p>
      <w:pPr>
        <w:pStyle w:val="FirstParagraph"/>
      </w:pPr>
      <w:r>
        <w:rPr>
          <w:b/>
          <w:bCs/>
        </w:rPr>
        <w:t xml:space="preserve">Axiom T0.</w:t>
      </w:r>
      <w:r>
        <w:t xml:space="preserve"> </w:t>
      </w:r>
      <w:r>
        <w:t xml:space="preserve">Distinguishability is primitive. Sameness is certified zero-difference inside a declared difference regime.</w:t>
      </w:r>
    </w:p>
    <w:p>
      <w:pPr>
        <w:pStyle w:val="BodyText"/>
      </w:pPr>
      <w:r>
        <w:t xml:space="preserve">For a declared difference detector</w:t>
      </w:r>
      <w:r>
        <w:t xml:space="preserve"> </w:t>
      </w:r>
      <m:oMath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⇔</m:t>
          </m:r>
          <m:r>
            <m:t>δ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zero has meaning only because the difference detector exists. Thus exactness is not absence of structure; it is certified absorption by a declared repair image.</w:t>
      </w:r>
    </w:p>
    <w:bookmarkEnd w:id="25"/>
    <w:bookmarkStart w:id="26" w:name="finite-realization-gate"/>
    <w:p>
      <w:pPr>
        <w:pStyle w:val="Heading2"/>
      </w:pPr>
      <w:r>
        <w:t xml:space="preserve">3. Finite Realization Gate</w:t>
      </w:r>
    </w:p>
    <w:p>
      <w:pPr>
        <w:pStyle w:val="FirstParagraph"/>
      </w:pPr>
      <w:r>
        <w:t xml:space="preserve">A theorem-grade claim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finite obstruction calculus requires a declared finite realization packet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G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K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  <m:scr m:val="script"/>
                </m:rPr>
                <m:t>C</m:t>
              </m:r>
              <m:r>
                <m:rPr>
                  <m:sty m:val="p"/>
                </m:rPr>
                <m:t>,</m:t>
              </m:r>
              <m:r>
                <m:t>ρ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•</m:t>
                  </m:r>
                </m:sup>
              </m:sSup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  <m:scr m:val="script"/>
                </m:rPr>
                <m:t>O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  <m:scr m:val="script"/>
                </m:rPr>
                <m:t>K</m:t>
              </m:r>
              <m:r>
                <m:rPr>
                  <m:sty m:val="p"/>
                </m:rPr>
                <m:t>,</m:t>
              </m:r>
              <m:r>
                <m:t>Λ</m:t>
              </m:r>
            </m:e>
          </m:d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C</m:t>
              </m:r>
            </m:e>
            <m:sup>
              <m:r>
                <m:rPr>
                  <m:sty m:val="p"/>
                </m:rPr>
                <m:t>•</m:t>
              </m:r>
            </m:sup>
          </m:sSup>
          <m:r>
            <m:rPr>
              <m:sty m:val="p"/>
            </m:rPr>
            <m:t>:</m:t>
          </m:r>
          <m:sSup>
            <m:e>
              <m:r>
                <m:t>C</m:t>
              </m:r>
            </m:e>
            <m:sup>
              <m:r>
                <m:t>0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</m:lim>
          </m:limUpp>
          <m:sSup>
            <m:e>
              <m:r>
                <m:t>C</m:t>
              </m:r>
            </m:e>
            <m:sup>
              <m:r>
                <m:t>1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lim>
          </m:limUpp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d</m:t>
              </m:r>
            </m:e>
            <m:sub>
              <m:r>
                <m:t>1</m:t>
              </m:r>
            </m:sub>
          </m:sSub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gate theorem is: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  <m:scr m:val="sans-serif"/>
                </m:rPr>
                <m:t>T</m:t>
              </m:r>
              <m:r>
                <m:rPr>
                  <m:sty m:val="p"/>
                  <m:scr m:val="sans-serif"/>
                </m:rPr>
                <m:t>h</m:t>
              </m:r>
              <m:r>
                <m:rPr>
                  <m:sty m:val="p"/>
                  <m:scr m:val="sans-serif"/>
                </m:rPr>
                <m:t>e</m:t>
              </m:r>
              <m:r>
                <m:rPr>
                  <m:sty m:val="p"/>
                  <m:scr m:val="sans-serif"/>
                </m:rPr>
                <m:t>o</m:t>
              </m:r>
              <m:r>
                <m:rPr>
                  <m:sty m:val="p"/>
                  <m:scr m:val="sans-serif"/>
                </m:rPr>
                <m:t>r</m:t>
              </m:r>
              <m:r>
                <m:rPr>
                  <m:sty m:val="p"/>
                  <m:scr m:val="sans-serif"/>
                </m:rPr>
                <m:t>e</m:t>
              </m:r>
              <m:r>
                <m:rPr>
                  <m:sty m:val="p"/>
                  <m:scr m:val="sans-serif"/>
                </m:rPr>
                <m:t>m</m:t>
              </m:r>
              <m:r>
                <m:rPr>
                  <m:sty m:val="p"/>
                  <m:scr m:val="sans-serif"/>
                </m:rPr>
                <m:t>G</m:t>
              </m:r>
              <m:r>
                <m:rPr>
                  <m:sty m:val="p"/>
                  <m:scr m:val="sans-serif"/>
                </m:rPr>
                <m:t>r</m:t>
              </m:r>
              <m:r>
                <m:rPr>
                  <m:sty m:val="p"/>
                  <m:scr m:val="sans-serif"/>
                </m:rPr>
                <m:t>a</m:t>
              </m:r>
              <m:r>
                <m:rPr>
                  <m:sty m:val="p"/>
                  <m:scr m:val="sans-serif"/>
                </m:rPr>
                <m:t>d</m:t>
              </m:r>
              <m:r>
                <m:rPr>
                  <m:sty m:val="p"/>
                  <m:scr m:val="sans-serif"/>
                </m:rP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⇒</m:t>
              </m:r>
              <m:r>
                <m:t>K</m:t>
              </m:r>
              <m:r>
                <m:rPr>
                  <m:sty m:val="p"/>
                </m:rPr>
                <m:t>∧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  <m:scr m:val="script"/>
                    </m:rP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ρ</m:t>
                  </m:r>
                </m:e>
              </m:d>
              <m:r>
                <m:rPr>
                  <m:sty m:val="p"/>
                </m:rPr>
                <m:t>∧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•</m:t>
                  </m:r>
                </m:sup>
              </m:sSup>
              <m:r>
                <m:rPr>
                  <m:sty m:val="p"/>
                </m:rPr>
                <m:t>∧</m:t>
              </m:r>
              <m:r>
                <m:t>E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  <m:scr m:val="script"/>
                </m:rPr>
                <m:t>O</m:t>
              </m:r>
              <m:r>
                <m:rPr>
                  <m:sty m:val="p"/>
                </m:rPr>
                <m:t>∧</m:t>
              </m:r>
              <m:r>
                <m:t>V</m:t>
              </m:r>
              <m:r>
                <m:rPr>
                  <m:sty m:val="p"/>
                </m:rPr>
                <m:t>∧</m:t>
              </m:r>
              <m:r>
                <m:t>τ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  <m:scr m:val="script"/>
                </m:rPr>
                <m:t>K</m:t>
              </m:r>
              <m:r>
                <m:rPr>
                  <m:sty m:val="p"/>
                </m:rPr>
                <m:t>∧</m:t>
              </m:r>
              <m:r>
                <m:t>Λ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Equivalently, absence of any required component gives a typed realization/refusal terminal, not a proof of falsity.</w:t>
      </w:r>
    </w:p>
    <w:bookmarkEnd w:id="26"/>
    <w:bookmarkStart w:id="27" w:name="ambient-finite-core"/>
    <w:p>
      <w:pPr>
        <w:pStyle w:val="Heading2"/>
      </w:pPr>
      <w:r>
        <w:t xml:space="preserve">4. Ambient Finite Core</w:t>
      </w:r>
    </w:p>
    <w:p>
      <w:pPr>
        <w:pStyle w:val="FirstParagraph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ans-serif"/>
            </m:rPr>
            <m:t>F</m:t>
          </m:r>
          <m:r>
            <m:rPr>
              <m:sty m:val="p"/>
              <m:scr m:val="sans-serif"/>
            </m:rPr>
            <m:t>i</m:t>
          </m:r>
          <m:r>
            <m:rPr>
              <m:sty m:val="p"/>
              <m:scr m:val="sans-serif"/>
            </m:rPr>
            <m:t>n</m:t>
          </m:r>
          <m:r>
            <m:rPr>
              <m:sty m:val="p"/>
              <m:scr m:val="sans-serif"/>
            </m:rPr>
            <m:t>C</m:t>
          </m:r>
          <m:r>
            <m:rPr>
              <m:sty m:val="p"/>
              <m:scr m:val="sans-serif"/>
            </m:rPr>
            <m:t>a</m:t>
          </m:r>
          <m:r>
            <m:rPr>
              <m:sty m:val="p"/>
              <m:scr m:val="sans-serif"/>
            </m:rPr>
            <m:t>t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  <m:scr m:val="sans-serif"/>
            </m:rPr>
            <m:t>F</m:t>
          </m:r>
          <m:r>
            <m:rPr>
              <m:sty m:val="p"/>
              <m:scr m:val="sans-serif"/>
            </m:rPr>
            <m:t>i</m:t>
          </m:r>
          <m:r>
            <m:rPr>
              <m:sty m:val="p"/>
              <m:scr m:val="sans-serif"/>
            </m:rPr>
            <m:t>n</m:t>
          </m:r>
          <m:r>
            <m:rPr>
              <m:sty m:val="p"/>
              <m:scr m:val="sans-serif"/>
            </m:rPr>
            <m:t>S</m:t>
          </m:r>
          <m:r>
            <m:rPr>
              <m:sty m:val="p"/>
              <m:scr m:val="sans-serif"/>
            </m:rPr>
            <m:t>e</m:t>
          </m:r>
          <m:r>
            <m:rPr>
              <m:sty m:val="p"/>
              <m:scr m:val="sans-serif"/>
            </m:rPr>
            <m:t>t</m:t>
          </m:r>
          <m:r>
            <m:rPr>
              <m:sty m:val="p"/>
            </m:rPr>
            <m:t>,</m:t>
          </m:r>
          <m:r>
            <m:t>  </m:t>
          </m:r>
          <m:sSubSup>
            <m:e>
              <m:r>
                <m:rPr>
                  <m:sty m:val="p"/>
                  <m:scr m:val="sans-serif"/>
                </m:rPr>
                <m:t>V</m:t>
              </m:r>
              <m:r>
                <m:rPr>
                  <m:sty m:val="p"/>
                  <m:scr m:val="sans-serif"/>
                </m:rPr>
                <m:t>e</m:t>
              </m:r>
              <m:r>
                <m:rPr>
                  <m:sty m:val="p"/>
                  <m:scr m:val="sans-serif"/>
                </m:rPr>
                <m:t>c</m:t>
              </m:r>
              <m:r>
                <m:rPr>
                  <m:sty m:val="p"/>
                  <m:scr m:val="sans-serif"/>
                </m:rPr>
                <m:t>t</m:t>
              </m:r>
            </m:e>
            <m:sub>
              <m:r>
                <m:rPr>
                  <m:sty m:val="p"/>
                  <m:scr m:val="double-struck"/>
                </m:rPr>
                <m:t>R</m:t>
              </m:r>
            </m:sub>
            <m:sup>
              <m:r>
                <m:t>f</m:t>
              </m:r>
              <m:r>
                <m:t>d</m:t>
              </m:r>
            </m:sup>
          </m:sSubSup>
        </m:oMath>
      </m:oMathPara>
    </w:p>
    <w:p>
      <w:pPr>
        <w:pStyle w:val="FirstParagraph"/>
      </w:pPr>
      <w:r>
        <w:t xml:space="preserve">denote finite small categories, finite sets, and finite-dimensional real vector spaces.</w:t>
      </w:r>
    </w:p>
    <w:p>
      <w:pPr>
        <w:pStyle w:val="BodyText"/>
      </w:pPr>
      <w:r>
        <w:t xml:space="preserve">For a finite category</w:t>
      </w:r>
      <w:r>
        <w:t xml:space="preserve"> </w:t>
      </w:r>
      <m:oMath>
        <m:r>
          <m:rPr>
            <m:sty m:val="p"/>
            <m:scr m:val="script"/>
          </m:rP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</m:acc>
            </m:e>
            <m:sub>
              <m:r>
                <m:t>f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rPr>
                  <m:sty m:val="p"/>
                  <m:scr m:val="sans-serif"/>
                </m:rPr>
                <m:t>F</m:t>
              </m:r>
              <m:r>
                <m:rPr>
                  <m:sty m:val="p"/>
                  <m:scr m:val="sans-serif"/>
                </m:rPr>
                <m:t>i</m:t>
              </m:r>
              <m:r>
                <m:rPr>
                  <m:sty m:val="p"/>
                  <m:scr m:val="sans-serif"/>
                </m:rPr>
                <m:t>n</m:t>
              </m:r>
              <m:r>
                <m:rPr>
                  <m:sty m:val="p"/>
                  <m:scr m:val="sans-serif"/>
                </m:rPr>
                <m:t>S</m:t>
              </m:r>
              <m:r>
                <m:rPr>
                  <m:sty m:val="p"/>
                  <m:scr m:val="sans-serif"/>
                </m:rPr>
                <m:t>e</m:t>
              </m:r>
              <m:r>
                <m:rPr>
                  <m:sty m:val="p"/>
                  <m:scr m:val="sans-serif"/>
                </m:rPr>
                <m:t>t</m:t>
              </m:r>
            </m:e>
            <m:sup>
              <m:sSup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p>
                  <m:r>
                    <m:t>o</m:t>
                  </m:r>
                  <m:r>
                    <m:t>p</m:t>
                  </m:r>
                </m:sup>
              </m:sSup>
            </m:sup>
          </m:sSup>
        </m:oMath>
      </m:oMathPara>
    </w:p>
    <w:p>
      <w:pPr>
        <w:pStyle w:val="FirstParagraph"/>
      </w:pPr>
      <w:r>
        <w:t xml:space="preserve">is the finite presheaf environment. If a finite Grothendieck topology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explicitly supplied, one may form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ans-serif"/>
            </m:rPr>
            <m:t>S</m:t>
          </m:r>
          <m:r>
            <m:rPr>
              <m:sty m:val="p"/>
              <m:scr m:val="sans-serif"/>
            </m:rP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  <m:scr m:val="script"/>
                </m:rPr>
                <m:t>C</m:t>
              </m:r>
              <m:r>
                <m:rPr>
                  <m:sty m:val="p"/>
                </m:rPr>
                <m:t>,</m:t>
              </m:r>
              <m:r>
                <m:t>J</m:t>
              </m:r>
            </m:e>
          </m:d>
          <m:r>
            <m:rPr>
              <m:sty m:val="p"/>
            </m:rPr>
            <m:t>⊆</m:t>
          </m:r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</m:acc>
            </m:e>
            <m:sub>
              <m:r>
                <m:t>f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No sheaf topology is automatic.</w:t>
      </w:r>
    </w:p>
    <w:bookmarkEnd w:id="27"/>
    <w:bookmarkStart w:id="28" w:name="mss-n-level"/>
    <w:p>
      <w:pPr>
        <w:pStyle w:val="Heading2"/>
      </w:pPr>
      <w:r>
        <w:t xml:space="preserve">5. MSS-N Level</w:t>
      </w:r>
    </w:p>
    <w:p>
      <w:pPr>
        <w:pStyle w:val="FirstParagraph"/>
      </w:pPr>
      <w:r>
        <w:t xml:space="preserve">An MSS level is a finite tuple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M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ρ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O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δ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χ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ω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n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finite term/state category,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finite admissible context category,</w:t>
      </w:r>
      <w:r>
        <w:t xml:space="preserve"> </w:t>
      </w:r>
      <m:oMath>
        <m:sSub>
          <m:e>
            <m:r>
              <m:t>ρ</m:t>
            </m:r>
          </m:e>
          <m:sub>
            <m:r>
              <m:t>n</m:t>
            </m:r>
          </m:sub>
        </m:sSub>
        <m:r>
          <m:rPr>
            <m:sty m:val="p"/>
          </m:rPr>
          <m:t>: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rPr>
            <m:sty m:val="p"/>
            <m:scr m:val="sans-serif"/>
          </m:rPr>
          <m:t>E</m:t>
        </m:r>
        <m:r>
          <m:rPr>
            <m:sty m:val="p"/>
            <m:scr m:val="sans-serif"/>
          </m:rPr>
          <m:t>n</m:t>
        </m:r>
        <m:r>
          <m:rPr>
            <m:sty m:val="p"/>
            <m:scr m:val="sans-serif"/>
          </m:rPr>
          <m:t>d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T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t xml:space="preserve">is a context action,</w:t>
      </w:r>
      <w:r>
        <w:t xml:space="preserve"> </w:t>
      </w:r>
      <m:oMath>
        <m:sSub>
          <m:e>
            <m:r>
              <m:t>L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repair generator set,</w:t>
      </w:r>
      <w:r>
        <w:t xml:space="preserve"> </w:t>
      </w:r>
      <m:oMath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distinction-coordinate set,</w:t>
      </w:r>
      <w:r>
        <w:t xml:space="preserve"> </w:t>
      </w:r>
      <m:oMath>
        <m:sSub>
          <m:e>
            <m:r>
              <m:t>O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closure/obstruction-coordinate set, and</w:t>
      </w:r>
      <w:r>
        <w:t xml:space="preserve"> </w:t>
      </w:r>
      <m:oMath>
        <m:sSub>
          <m:e>
            <m:r>
              <m:t>ω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declared positive gauge.</w:t>
      </w:r>
    </w:p>
    <w:p>
      <w:pPr>
        <w:pStyle w:val="BodyText"/>
      </w:pPr>
      <w:r>
        <w:t xml:space="preserve">The cochain carrier 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C</m:t>
              </m:r>
            </m:e>
            <m:sub>
              <m:r>
                <m:t>n</m:t>
              </m:r>
            </m:sub>
            <m:sup>
              <m:r>
                <m:t>0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sSub>
                <m:e>
                  <m:r>
                    <m:t>L</m:t>
                  </m:r>
                </m:e>
                <m:sub>
                  <m:r>
                    <m:t>n</m:t>
                  </m:r>
                </m:sub>
              </m:sSub>
            </m:sup>
          </m:sSup>
          <m:r>
            <m:rPr>
              <m:sty m:val="p"/>
            </m:rPr>
            <m:t>,</m:t>
          </m:r>
          <m:r>
            <m:t>  </m:t>
          </m:r>
          <m:sSubSup>
            <m:e>
              <m:r>
                <m:t>C</m:t>
              </m:r>
            </m:e>
            <m:sub>
              <m:r>
                <m:t>n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sSub>
                <m:e>
                  <m:r>
                    <m:t>D</m:t>
                  </m:r>
                </m:e>
                <m:sub>
                  <m:r>
                    <m:t>n</m:t>
                  </m:r>
                </m:sub>
              </m:sSub>
            </m:sup>
          </m:sSup>
          <m:r>
            <m:rPr>
              <m:sty m:val="p"/>
            </m:rPr>
            <m:t>,</m:t>
          </m:r>
          <m:r>
            <m:t>  </m:t>
          </m:r>
          <m:sSubSup>
            <m:e>
              <m:r>
                <m:t>C</m:t>
              </m:r>
            </m:e>
            <m:sub>
              <m:r>
                <m:t>n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sSub>
                <m:e>
                  <m:r>
                    <m:t>O</m:t>
                  </m:r>
                </m:e>
                <m:sub>
                  <m:r>
                    <m:t>n</m:t>
                  </m:r>
                </m:sub>
              </m:sSub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δ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d</m:t>
              </m:r>
            </m:e>
            <m:sub>
              <m:r>
                <m:t>1</m:t>
              </m:r>
              <m:r>
                <m:rPr>
                  <m:sty m:val="p"/>
                </m:rPr>
                <m:t>,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χ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d</m:t>
              </m:r>
            </m:e>
            <m:sub>
              <m:r>
                <m:t>1</m:t>
              </m:r>
              <m:r>
                <m:rPr>
                  <m:sty m:val="p"/>
                </m:rPr>
                <m:t>,</m:t>
              </m:r>
              <m:r>
                <m:t>n</m:t>
              </m:r>
            </m:sub>
          </m:sSub>
          <m:sSub>
            <m:e>
              <m:r>
                <m:t>d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28"/>
    <w:bookmarkStart w:id="29" w:name="Xdfcc400de5e15cc33d2478e17dcca8a011da7e2"/>
    <w:p>
      <w:pPr>
        <w:pStyle w:val="Heading2"/>
      </w:pPr>
      <w:r>
        <w:t xml:space="preserve">6. Defects, Exact Repair, and Quotient Obstruction</w:t>
      </w:r>
    </w:p>
    <w:p>
      <w:pPr>
        <w:pStyle w:val="FirstParagraph"/>
      </w:pPr>
      <w:r>
        <w:t xml:space="preserve">For a submitted finite state</w:t>
      </w:r>
      <w:r>
        <w:t xml:space="preserve"> </w:t>
      </w:r>
      <m:oMath>
        <m:r>
          <m:t>s</m:t>
        </m:r>
      </m:oMath>
      <w:r>
        <w:t xml:space="preserve">, an edge defect has the form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e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e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v</m:t>
                  </m:r>
                </m:e>
              </m:d>
            </m:e>
          </m:d>
          <m:r>
            <m:rPr>
              <m:sty m:val="p"/>
            </m:rPr>
            <m:t>−</m:t>
          </m:r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exact repair subspace 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B</m:t>
              </m:r>
            </m:e>
            <m:sub>
              <m:r>
                <m:t>n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im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d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</m:e>
          </m:d>
          <m:r>
            <m:rPr>
              <m:sty m:val="p"/>
            </m:rPr>
            <m:t>⊆</m:t>
          </m:r>
          <m:sSubSup>
            <m:e>
              <m:r>
                <m:t>C</m:t>
              </m:r>
            </m:e>
            <m:sub>
              <m:r>
                <m:t>n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quotient obstruction space 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Q</m:t>
              </m:r>
            </m:e>
            <m:sub>
              <m:r>
                <m:t>n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C</m:t>
              </m:r>
            </m:e>
            <m:sub>
              <m:r>
                <m:t>n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/</m:t>
          </m:r>
          <m:sSubSup>
            <m:e>
              <m:r>
                <m:t>B</m:t>
              </m:r>
            </m:e>
            <m:sub>
              <m:r>
                <m:t>n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sSub>
            <m:e>
              <m:r>
                <m:t>π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:</m:t>
          </m:r>
          <m:sSubSup>
            <m:e>
              <m:r>
                <m:t>C</m:t>
              </m:r>
            </m:e>
            <m:sub>
              <m:r>
                <m:t>n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→</m:t>
          </m:r>
          <m:sSubSup>
            <m:e>
              <m:r>
                <m:t>Q</m:t>
              </m:r>
            </m:e>
            <m:sub>
              <m:r>
                <m:t>n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n</m:t>
            </m:r>
          </m:sub>
        </m:sSub>
        <m:sSub>
          <m:e>
            <m:r>
              <m:t>d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n</m:t>
            </m:r>
          </m:sub>
        </m:sSub>
      </m:oMath>
      <w:r>
        <w:t xml:space="preserve"> </w:t>
      </w:r>
      <w:r>
        <w:t xml:space="preserve">descends to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d</m:t>
                  </m:r>
                </m:e>
              </m:acc>
            </m:e>
            <m:sub>
              <m:r>
                <m:t>1</m:t>
              </m:r>
              <m:r>
                <m:rPr>
                  <m:sty m:val="p"/>
                </m:rPr>
                <m:t>,</m:t>
              </m:r>
              <m:r>
                <m:t>n</m:t>
              </m:r>
            </m:sub>
          </m:sSub>
          <m:r>
            <m:rPr>
              <m:sty m:val="p"/>
            </m:rPr>
            <m:t>:</m:t>
          </m:r>
          <m:sSubSup>
            <m:e>
              <m:r>
                <m:t>Q</m:t>
              </m:r>
            </m:e>
            <m:sub>
              <m:r>
                <m:t>n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→</m:t>
          </m:r>
          <m:sSubSup>
            <m:e>
              <m:r>
                <m:t>C</m:t>
              </m:r>
            </m:e>
            <m:sub>
              <m:r>
                <m:t>n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‾"/>
                </m:accPr>
                <m:e>
                  <m:r>
                    <m:t>d</m:t>
                  </m:r>
                </m:e>
              </m:acc>
            </m:e>
            <m:sub>
              <m:r>
                <m:t>1</m:t>
              </m:r>
              <m:r>
                <m:rPr>
                  <m:sty m:val="p"/>
                </m:rPr>
                <m:t>,</m:t>
              </m:r>
              <m:r>
                <m:t>n</m:t>
              </m:r>
            </m:sub>
          </m:sSub>
          <m:sSub>
            <m:e>
              <m:r>
                <m:t>π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1</m:t>
              </m:r>
              <m:r>
                <m:rPr>
                  <m:sty m:val="p"/>
                </m:rPr>
                <m:t>,</m:t>
              </m:r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closed quotient sector 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H</m:t>
              </m:r>
            </m:e>
            <m:sub>
              <m:r>
                <m:t>n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ker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d</m:t>
                      </m:r>
                    </m:e>
                  </m:acc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</m:e>
          </m:d>
          <m:r>
            <m:rPr>
              <m:sty m:val="p"/>
            </m:rPr>
            <m:t>≅</m:t>
          </m:r>
          <m:r>
            <m:rPr>
              <m:sty m:val="p"/>
            </m:rPr>
            <m:t>ker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d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</m:e>
          </m:d>
          <m:r>
            <m:rPr>
              <m:sty m:val="p"/>
            </m:rPr>
            <m:t>/</m:t>
          </m:r>
          <m:r>
            <m:rPr>
              <m:sty m:val="p"/>
            </m:rPr>
            <m:t>im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d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Elements of</w:t>
      </w:r>
      <w:r>
        <w:t xml:space="preserve"> </w:t>
      </w:r>
      <m:oMath>
        <m:sSubSup>
          <m:e>
            <m:r>
              <m:t>H</m:t>
            </m:r>
          </m:e>
          <m:sub>
            <m:r>
              <m:t>n</m:t>
            </m:r>
          </m:sub>
          <m:sup>
            <m:r>
              <m:t>1</m:t>
            </m:r>
          </m:sup>
        </m:sSubSup>
        <m:r>
          <m:rPr>
            <m:sty m:val="p"/>
          </m:rPr>
          <m:t>\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}</m:t>
        </m:r>
      </m:oMath>
      <w:r>
        <w:t xml:space="preserve"> </w:t>
      </w:r>
      <w:r>
        <w:t xml:space="preserve">are closed non-exact residual classes.</w:t>
      </w:r>
    </w:p>
    <w:bookmarkEnd w:id="29"/>
    <w:bookmarkStart w:id="30" w:name="Xde0715dde6252b0b654fb43186e353a344b6b51"/>
    <w:p>
      <w:pPr>
        <w:pStyle w:val="Heading2"/>
      </w:pPr>
      <w:r>
        <w:t xml:space="preserve">7. Normed Cokernel and Obstruction Magnitude</w:t>
      </w:r>
    </w:p>
    <w:p>
      <w:pPr>
        <w:pStyle w:val="FirstParagraph"/>
      </w:pPr>
      <w:r>
        <w:t xml:space="preserve">A positive weight system 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r>
            <m:t>x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ω</m:t>
                  </m:r>
                </m:e>
                <m:sub>
                  <m:r>
                    <m:t>n</m:t>
                  </m:r>
                </m:sub>
              </m:sSub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d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D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ω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</m:sub>
              </m:sSub>
            </m:e>
          </m:nary>
          <m:d>
            <m:dPr>
              <m:begChr m:val="|"/>
              <m:endChr m:val="|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d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quotient obstruction norm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Φ</m:t>
              </m:r>
            </m:e>
            <m:sub>
              <m:r>
                <m:t>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x</m:t>
                  </m:r>
                </m:e>
              </m:d>
            </m:e>
          </m:d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inf</m:t>
              </m:r>
            </m:e>
            <m:lim>
              <m:r>
                <m:t>α</m:t>
              </m:r>
              <m:r>
                <m:rPr>
                  <m:sty m:val="p"/>
                </m:rPr>
                <m:t>∈</m:t>
              </m:r>
              <m:sSubSup>
                <m:e>
                  <m:r>
                    <m:t>C</m:t>
                  </m:r>
                </m:e>
                <m:sub>
                  <m:r>
                    <m:t>n</m:t>
                  </m:r>
                </m:sub>
                <m:sup>
                  <m:r>
                    <m:t>0</m:t>
                  </m:r>
                </m:sup>
              </m:sSubSup>
            </m:lim>
          </m:limLow>
          <m:r>
            <m:rPr>
              <m:sty m:val="p"/>
            </m:rPr>
            <m:t>∥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n</m:t>
              </m:r>
            </m:sub>
          </m:sSub>
          <m:r>
            <m:t>α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ω</m:t>
                  </m:r>
                </m:e>
                <m:sub>
                  <m:r>
                    <m:t>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closure mass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Γ</m:t>
              </m:r>
            </m:e>
            <m:sub>
              <m:r>
                <m:t>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x</m:t>
                  </m:r>
                </m:e>
              </m:d>
            </m:e>
          </m:d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sSub>
            <m:e>
              <m:acc>
                <m:accPr>
                  <m:chr m:val="‾"/>
                </m:accPr>
                <m:e>
                  <m:r>
                    <m:t>d</m:t>
                  </m:r>
                </m:e>
              </m:acc>
            </m:e>
            <m:sub>
              <m:r>
                <m:t>1</m:t>
              </m:r>
              <m:r>
                <m:rPr>
                  <m:sty m:val="p"/>
                </m:rPr>
                <m:t>,</m:t>
              </m:r>
              <m:r>
                <m:t>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x</m:t>
                  </m:r>
                </m:e>
              </m:d>
            </m:e>
          </m:d>
          <m:r>
            <m:rPr>
              <m:sty m:val="p"/>
            </m:rPr>
            <m:t>∥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safe norm principle is:</w:t>
      </w:r>
    </w:p>
    <w:p>
      <w:pPr>
        <w:pStyle w:val="BodyText"/>
      </w:pPr>
      <w:r>
        <w:rPr>
          <w:b/>
          <w:bCs/>
        </w:rPr>
        <w:t xml:space="preserve">Safe norm principle:</w:t>
      </w:r>
      <w:r>
        <w:t xml:space="preserve"> </w:t>
      </w:r>
      <w:r>
        <w:t xml:space="preserve">independent finite defects add by outer</w:t>
      </w:r>
      <w:r>
        <w:t xml:space="preserve"> </w:t>
      </w:r>
      <m:oMath>
        <m:sSup>
          <m:e>
            <m:r>
              <m:rPr>
                <m:sty m:val="p"/>
              </m:rPr>
              <m:t>ℓ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after local gauges are declared.</w:t>
      </w:r>
    </w:p>
    <w:p>
      <w:pPr>
        <w:pStyle w:val="BodyText"/>
      </w:pPr>
      <w:r>
        <w:t xml:space="preserve">Local gauges may be scalar</w:t>
      </w:r>
      <w:r>
        <w:t xml:space="preserve"> </w:t>
      </w:r>
      <m:oMath>
        <m:sSup>
          <m:e>
            <m:r>
              <m:rPr>
                <m:sty m:val="p"/>
              </m:rPr>
              <m:t>ℓ</m:t>
            </m:r>
          </m:e>
          <m:sup>
            <m:r>
              <m:t>1</m:t>
            </m:r>
          </m:sup>
        </m:sSup>
      </m:oMath>
      <w:r>
        <w:t xml:space="preserve">, vector</w:t>
      </w:r>
      <w:r>
        <w:t xml:space="preserve"> </w:t>
      </w:r>
      <m:oMath>
        <m:sSup>
          <m:e>
            <m:r>
              <m:rPr>
                <m:sty m:val="p"/>
              </m:rPr>
              <m:t>ℓ</m:t>
            </m:r>
          </m:e>
          <m:sup>
            <m:r>
              <m:t>2</m:t>
            </m:r>
          </m:sup>
        </m:sSup>
      </m:oMath>
      <w:r>
        <w:t xml:space="preserve">, trace norm, or another declared finite gauge. The core does not assert that</w:t>
      </w:r>
      <w:r>
        <w:t xml:space="preserve"> </w:t>
      </w:r>
      <m:oMath>
        <m:sSup>
          <m:e>
            <m:r>
              <m:rPr>
                <m:sty m:val="p"/>
              </m:rPr>
              <m:t>ℓ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is universal.</w:t>
      </w:r>
    </w:p>
    <w:bookmarkEnd w:id="30"/>
    <w:bookmarkStart w:id="38" w:name="main-theorems"/>
    <w:p>
      <w:pPr>
        <w:pStyle w:val="Heading2"/>
      </w:pPr>
      <w:r>
        <w:t xml:space="preserve">8. Main Theorems</w:t>
      </w:r>
    </w:p>
    <w:bookmarkStart w:id="31" w:name="t1-finite-realization-gate"/>
    <w:p>
      <w:pPr>
        <w:pStyle w:val="Heading3"/>
      </w:pPr>
      <w:r>
        <w:t xml:space="preserve">T1 — Finite Realization Gate</w:t>
      </w:r>
    </w:p>
    <w:p>
      <w:pPr>
        <w:pStyle w:val="FirstParagraph"/>
      </w:pPr>
      <w:r>
        <w:t xml:space="preserve">No theorem-grade finite obstruction claim exists without a finite realization packet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K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  <m:scr m:val="script"/>
                </m:rPr>
                <m:t>C</m:t>
              </m:r>
              <m:r>
                <m:rPr>
                  <m:sty m:val="p"/>
                </m:rPr>
                <m:t>,</m:t>
              </m:r>
              <m:r>
                <m:t>ρ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•</m:t>
                  </m:r>
                </m:sup>
              </m:sSup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  <m:scr m:val="script"/>
                </m:rPr>
                <m:t>O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  <m:scr m:val="script"/>
                </m:rPr>
                <m:t>K</m:t>
              </m:r>
              <m:r>
                <m:rPr>
                  <m:sty m:val="p"/>
                </m:rPr>
                <m:t>,</m:t>
              </m:r>
              <m:r>
                <m:t>Λ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failed claim is not false by default; it terminalizes as a missing-carrier, missing-context, missing-complex, missing-operator, missing-evaluator, missing-certificate, or missing-refusal-semantics condition.</w:t>
      </w:r>
    </w:p>
    <w:bookmarkEnd w:id="31"/>
    <w:bookmarkStart w:id="32" w:name="Xb83f3bdc68802f1b96a4aac57f09db0cad8c589"/>
    <w:p>
      <w:pPr>
        <w:pStyle w:val="Heading3"/>
      </w:pPr>
      <w:r>
        <w:t xml:space="preserve">T2 — Normed Cokernel and Quotient Obstruction</w:t>
      </w:r>
    </w:p>
    <w:p>
      <w:pPr>
        <w:pStyle w:val="FirstParagraph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C</m:t>
              </m:r>
            </m:e>
            <m:sup>
              <m:r>
                <m:t>0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</m:lim>
          </m:limUpp>
          <m:sSup>
            <m:e>
              <m:r>
                <m:t>C</m:t>
              </m:r>
            </m:e>
            <m:sup>
              <m:r>
                <m:t>1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lim>
          </m:limUpp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be a finite-dimensional real cochain complex with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 Let</w:t>
      </w:r>
      <w:r>
        <w:t xml:space="preserve"> </w:t>
      </w:r>
      <m:oMath>
        <m:sSup>
          <m:e>
            <m:r>
              <m:t>C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carry a declared norm. Define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im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Q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Φ</m:t>
          </m:r>
          <m:d>
            <m:dPr>
              <m:begChr m:val="("/>
              <m:endChr m:val=")"/>
              <m:sepChr m:val=""/>
              <m:grow/>
            </m:dPr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x</m:t>
                  </m:r>
                </m:e>
              </m:d>
            </m:e>
          </m:d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inf</m:t>
              </m:r>
            </m:e>
            <m:lim>
              <m:r>
                <m:t>α</m:t>
              </m:r>
              <m:r>
                <m:rPr>
                  <m:sty m:val="p"/>
                </m:rPr>
                <m:t>∈</m:t>
              </m:r>
              <m:sSup>
                <m:e>
                  <m:r>
                    <m:t>C</m:t>
                  </m:r>
                </m:e>
                <m:sup>
                  <m:r>
                    <m:t>0</m:t>
                  </m:r>
                </m:sup>
              </m:sSup>
            </m:lim>
          </m:limLow>
          <m:r>
            <m:rPr>
              <m:sty m:val="p"/>
            </m:rPr>
            <m:t>∥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t>α</m:t>
          </m:r>
          <m:r>
            <m:rPr>
              <m:sty m:val="p"/>
            </m:rPr>
            <m:t>∥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sSup>
          <m:e>
            <m:r>
              <m:t>Q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is the cokernel of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is the quotient norm on</w:t>
      </w:r>
      <w:r>
        <w:t xml:space="preserve"> </w:t>
      </w:r>
      <m:oMath>
        <m:sSup>
          <m:e>
            <m:r>
              <m:t>Q</m:t>
            </m:r>
          </m:e>
          <m:sup>
            <m:r>
              <m:t>1</m:t>
            </m:r>
          </m:sup>
        </m:sSup>
      </m:oMath>
      <w:r>
        <w:t xml:space="preserve">, the infimum is attained,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descends 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d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:</m:t>
        </m:r>
        <m:sSup>
          <m:e>
            <m:r>
              <m:t>Q</m:t>
            </m:r>
          </m:e>
          <m:sup>
            <m:r>
              <m:t>1</m:t>
            </m:r>
          </m:sup>
        </m:sSup>
        <m:r>
          <m:rPr>
            <m:sty m:val="p"/>
          </m:rPr>
          <m:t>→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H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ker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d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≅</m:t>
          </m:r>
          <m:r>
            <m:rPr>
              <m:sty m:val="p"/>
            </m:rPr>
            <m:t>ker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/</m:t>
          </m:r>
          <m:r>
            <m:rPr>
              <m:sty m:val="p"/>
            </m:rPr>
            <m:t>im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bookmarkEnd w:id="32"/>
    <w:bookmarkStart w:id="33" w:name="t3-primal-dual-certificate-identity"/>
    <w:p>
      <w:pPr>
        <w:pStyle w:val="Heading3"/>
      </w:pPr>
      <w:r>
        <w:t xml:space="preserve">T3 — Primal-Dual Certificate Identity</w:t>
      </w:r>
    </w:p>
    <w:p>
      <w:pPr>
        <w:pStyle w:val="FirstParagraph"/>
      </w:pPr>
      <w:r>
        <w:t xml:space="preserve">For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p>
          <m:e>
            <m:r>
              <m:t>C</m:t>
            </m:r>
          </m:e>
          <m:sup>
            <m:r>
              <m:t>0</m:t>
            </m:r>
          </m:sup>
        </m:sSup>
        <m:r>
          <m:rPr>
            <m:sty m:val="p"/>
          </m:rPr>
          <m:t>→</m:t>
        </m:r>
        <m:sSup>
          <m:e>
            <m:r>
              <m:t>C</m:t>
            </m:r>
          </m:e>
          <m:sup>
            <m:r>
              <m:t>1</m:t>
            </m:r>
          </m:sup>
        </m:sSup>
        <m:r>
          <m:rPr>
            <m:sty m:val="p"/>
          </m:rPr>
          <m:t>≅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 positive weights</w:t>
      </w:r>
      <w:r>
        <w:t xml:space="preserve"> </w:t>
      </w:r>
      <m:oMath>
        <m:sSub>
          <m:e>
            <m:r>
              <m:t>ω</m:t>
            </m:r>
          </m:e>
          <m:sub>
            <m:r>
              <m:t>i</m:t>
            </m:r>
          </m:sub>
        </m:sSub>
      </m:oMath>
      <w:r>
        <w:t xml:space="preserve">, define</w:t>
      </w:r>
    </w:p>
    <w:p>
      <w:pPr>
        <w:pStyle w:val="BodyText"/>
      </w:pPr>
      <m:oMathPara>
        <m:oMathParaPr>
          <m:jc m:val="center"/>
        </m:oMathParaPr>
        <m:oMath>
          <m:r>
            <m:t>Φ</m:t>
          </m:r>
          <m:d>
            <m:dPr>
              <m:begChr m:val="("/>
              <m:endChr m:val=")"/>
              <m:sepChr m:val=""/>
              <m:grow/>
            </m:dPr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x</m:t>
                  </m:r>
                </m:e>
              </m:d>
            </m:e>
          </m:d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α</m:t>
              </m:r>
              <m:r>
                <m:rPr>
                  <m:sty m:val="p"/>
                </m:rPr>
                <m:t>∈</m:t>
              </m:r>
              <m:sSup>
                <m:e>
                  <m:r>
                    <m:t>C</m:t>
                  </m:r>
                </m:e>
                <m:sup>
                  <m:r>
                    <m:t>0</m:t>
                  </m:r>
                </m:sup>
              </m:sSup>
            </m:lim>
          </m:limLow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ω</m:t>
                  </m:r>
                </m:e>
                <m:sub>
                  <m:r>
                    <m:t>i</m:t>
                  </m:r>
                </m:sub>
              </m:sSub>
            </m:e>
          </m:nary>
          <m:d>
            <m:dPr>
              <m:begChr m:val="|"/>
              <m:endChr m:val="|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α</m:t>
                      </m:r>
                    </m:e>
                  </m:d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max</m:t>
                  </m:r>
                </m:e>
                <m:lim>
                  <m:r>
                    <m:t>φ</m:t>
                  </m:r>
                  <m:r>
                    <m:rPr>
                      <m:sty m:val="p"/>
                    </m:rPr>
                    <m:t>∈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C</m:t>
                              </m:r>
                            </m:e>
                            <m:sup>
                              <m:r>
                                <m:t>1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lim>
              </m:limLow>
              <m:r>
                <m:rPr>
                  <m:sty m:val="p"/>
                </m:rPr>
                <m:t>{</m:t>
              </m:r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:</m:t>
              </m:r>
              <m:sSubSup>
                <m:e>
                  <m:r>
                    <m:t>d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t>φ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 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φ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≤</m:t>
              </m:r>
              <m:sSub>
                <m:e>
                  <m:r>
                    <m:t>ω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The primal minimum and dual maximum are attained. A replayable certificate consists of primal repair data, dual annihilator data, and a primal-dual equality check.</w:t>
      </w:r>
    </w:p>
    <w:bookmarkEnd w:id="33"/>
    <w:bookmarkStart w:id="34" w:name="t4-context-witness-lift-trigger"/>
    <w:p>
      <w:pPr>
        <w:pStyle w:val="Heading3"/>
      </w:pPr>
      <w:r>
        <w:t xml:space="preserve">T4 — Context Witness Lift Trigger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script"/>
              </m:rPr>
              <m:t>T</m:t>
            </m:r>
            <m:r>
              <m:rPr>
                <m:sty m:val="p"/>
              </m:rPr>
              <m:t>,</m:t>
            </m:r>
            <m:r>
              <m:rPr>
                <m:sty m:val="p"/>
                <m:scr m:val="script"/>
              </m:rPr>
              <m:t>C</m:t>
            </m:r>
            <m:r>
              <m:rPr>
                <m:sty m:val="p"/>
              </m:rPr>
              <m:t>,</m:t>
            </m:r>
            <m:r>
              <m:t>ρ</m:t>
            </m:r>
            <m:r>
              <m:rPr>
                <m:sty m:val="p"/>
              </m:rPr>
              <m:t>;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•</m:t>
                </m:r>
              </m:sup>
            </m:sSup>
            <m:r>
              <m:rPr>
                <m:sty m:val="p"/>
              </m:rPr>
              <m:t>,</m:t>
            </m:r>
            <m:r>
              <m:t>ω</m:t>
            </m:r>
            <m:r>
              <m:rPr>
                <m:sty m:val="p"/>
              </m:rPr>
              <m:t>,</m:t>
            </m:r>
            <m:r>
              <m:t>p</m:t>
            </m:r>
          </m:e>
        </m:d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:</m:t>
          </m:r>
          <m:r>
            <m:rPr>
              <m:sty m:val="p"/>
            </m:rPr>
            <m:t>Ob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  <m:scr m:val="script"/>
                </m:rPr>
                <m:t>T</m:t>
              </m:r>
            </m:e>
          </m:d>
          <m:r>
            <m:rPr>
              <m:sty m:val="p"/>
            </m:rPr>
            <m:t>→</m:t>
          </m:r>
          <m:sSup>
            <m:e>
              <m:r>
                <m:t>Q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∼</m:t>
          </m:r>
          <m:r>
            <m:t>y</m:t>
          </m:r>
          <m:r>
            <m:rPr>
              <m:sty m:val="p"/>
            </m:rPr>
            <m:t>⇔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lift is triggered only by context-visible non-congruence: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  <m:scr m:val="sans-serif"/>
                </m:rPr>
                <m:t>L</m:t>
              </m:r>
              <m:r>
                <m:rPr>
                  <m:sty m:val="p"/>
                  <m:scr m:val="sans-serif"/>
                </m:rPr>
                <m:t>i</m:t>
              </m:r>
              <m:r>
                <m:rPr>
                  <m:sty m:val="p"/>
                  <m:scr m:val="sans-serif"/>
                </m:rPr>
                <m:t>f</m:t>
              </m:r>
              <m:r>
                <m:rPr>
                  <m:sty m:val="p"/>
                  <m:scr m:val="sans-serif"/>
                </m:rPr>
                <m:t>t</m:t>
              </m:r>
              <m:r>
                <m:rPr>
                  <m:sty m:val="p"/>
                  <m:scr m:val="sans-serif"/>
                </m:rPr>
                <m:t>T</m:t>
              </m:r>
              <m:r>
                <m:rPr>
                  <m:sty m:val="p"/>
                  <m:scr m:val="sans-serif"/>
                </m:rPr>
                <m:t>r</m:t>
              </m:r>
              <m:r>
                <m:rPr>
                  <m:sty m:val="p"/>
                  <m:scr m:val="sans-serif"/>
                </m:rPr>
                <m:t>i</m:t>
              </m:r>
              <m:r>
                <m:rPr>
                  <m:sty m:val="p"/>
                  <m:scr m:val="sans-serif"/>
                </m:rPr>
                <m:t>g</m:t>
              </m:r>
              <m:r>
                <m:rPr>
                  <m:sty m:val="p"/>
                  <m:scr m:val="sans-serif"/>
                </m:rPr>
                <m:t>g</m:t>
              </m:r>
              <m:r>
                <m:rPr>
                  <m:sty m:val="p"/>
                  <m:scr m:val="sans-serif"/>
                </m:rPr>
                <m:t>e</m:t>
              </m:r>
              <m:r>
                <m:rPr>
                  <m:sty m:val="p"/>
                  <m:scr m:val="sans-serif"/>
                </m:rP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∃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∼</m:t>
              </m:r>
              <m:r>
                <m:t>y</m:t>
              </m:r>
              <m:r>
                <m:t> </m:t>
              </m:r>
              <m:r>
                <m:rPr>
                  <m:sty m:val="p"/>
                </m:rPr>
                <m:t>∧</m:t>
              </m:r>
              <m:r>
                <m:t> </m:t>
              </m:r>
              <m:r>
                <m:t>ρ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  <m:r>
                <m:t>x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≁</m:t>
                  </m:r>
                </m:e>
              </m:box>
              <m:r>
                <m:t>ρ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  <m:r>
                <m:t>y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Obstruction mass alone does not imply licensed lift:</w:t>
      </w:r>
    </w:p>
    <w:p>
      <w:pPr>
        <w:pStyle w:val="BodyText"/>
      </w:pPr>
      <m:oMathPara>
        <m:oMathParaPr>
          <m:jc m:val="center"/>
        </m:oMathParaPr>
        <m:oMath>
          <m:r>
            <m:t>Φ</m:t>
          </m:r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</m:e>
          </m:d>
          <m:r>
            <m:rPr>
              <m:sty m:val="p"/>
            </m:rPr>
            <m:t>&gt;</m:t>
          </m:r>
          <m:r>
            <m:t>0</m:t>
          </m:r>
          <m:box>
            <m:boxPr>
              <m:opEmu m:val="on"/>
            </m:boxPr>
            <m:e>
              <m:r>
                <m:rPr>
                  <m:sty m:val="p"/>
                </m:rPr>
                <m:t>⇏</m:t>
              </m:r>
            </m:e>
          </m:box>
          <m:r>
            <m:rPr>
              <m:sty m:val="p"/>
              <m:scr m:val="sans-serif"/>
            </m:rPr>
            <m:t>L</m:t>
          </m:r>
          <m:r>
            <m:rPr>
              <m:sty m:val="p"/>
              <m:scr m:val="sans-serif"/>
            </m:rPr>
            <m:t>i</m:t>
          </m:r>
          <m:r>
            <m:rPr>
              <m:sty m:val="p"/>
              <m:scr m:val="sans-serif"/>
            </m:rPr>
            <m:t>c</m:t>
          </m:r>
          <m:r>
            <m:rPr>
              <m:sty m:val="p"/>
              <m:scr m:val="sans-serif"/>
            </m:rPr>
            <m:t>e</m:t>
          </m:r>
          <m:r>
            <m:rPr>
              <m:sty m:val="p"/>
              <m:scr m:val="sans-serif"/>
            </m:rPr>
            <m:t>n</m:t>
          </m:r>
          <m:r>
            <m:rPr>
              <m:sty m:val="p"/>
              <m:scr m:val="sans-serif"/>
            </m:rPr>
            <m:t>s</m:t>
          </m:r>
          <m:r>
            <m:rPr>
              <m:sty m:val="p"/>
              <m:scr m:val="sans-serif"/>
            </m:rPr>
            <m:t>e</m:t>
          </m:r>
          <m:r>
            <m:rPr>
              <m:sty m:val="p"/>
              <m:scr m:val="sans-serif"/>
            </m:rPr>
            <m:t>d</m:t>
          </m:r>
          <m:r>
            <m:rPr>
              <m:sty m:val="p"/>
              <m:scr m:val="sans-serif"/>
            </m:rPr>
            <m:t>L</m:t>
          </m:r>
          <m:r>
            <m:rPr>
              <m:sty m:val="p"/>
              <m:scr m:val="sans-serif"/>
            </m:rPr>
            <m:t>i</m:t>
          </m:r>
          <m:r>
            <m:rPr>
              <m:sty m:val="p"/>
              <m:scr m:val="sans-serif"/>
            </m:rPr>
            <m:t>f</m:t>
          </m:r>
          <m:r>
            <m:rPr>
              <m:sty m:val="p"/>
              <m:scr m:val="sans-serif"/>
            </m:rPr>
            <m:t>t</m:t>
          </m:r>
          <m:r>
            <m:rPr>
              <m:sty m:val="p"/>
            </m:rPr>
            <m:t>.</m:t>
          </m:r>
        </m:oMath>
      </m:oMathPara>
    </w:p>
    <w:bookmarkEnd w:id="34"/>
    <w:bookmarkStart w:id="35" w:name="t5-minimal-resolver-existence"/>
    <w:p>
      <w:pPr>
        <w:pStyle w:val="Heading3"/>
      </w:pPr>
      <w:r>
        <w:t xml:space="preserve">T5 — Minimal Resolver Existence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typed context witness, and let</w:t>
      </w:r>
      <w:r>
        <w:t xml:space="preserve"> </w:t>
      </w:r>
      <m:oMath>
        <m:r>
          <m:rPr>
            <m:sty m:val="p"/>
            <m:scr m:val="script"/>
          </m:rPr>
          <m:t>G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</m:e>
        </m:d>
      </m:oMath>
      <w:r>
        <w:t xml:space="preserve"> </w:t>
      </w:r>
      <w:r>
        <w:t xml:space="preserve">be a declared finite candidate resolver class. If valid resolvers are decidable, nonempty, and ordered by a finite well-founded minimality order, then there exists a minimal valid resolver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script"/>
                </m:rPr>
                <m:t>G</m:t>
              </m:r>
            </m:e>
            <m:sup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s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w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theorem proves existence, not uniqueness. If incomparable minimal resolvers exist and no declared equivalence identifies them, the valid terminal is nonunique-minimality or refusal, not silent choice.</w:t>
      </w:r>
    </w:p>
    <w:bookmarkEnd w:id="35"/>
    <w:bookmarkStart w:id="36" w:name="t6-generator-growth-law"/>
    <w:p>
      <w:pPr>
        <w:pStyle w:val="Heading3"/>
      </w:pPr>
      <w:r>
        <w:t xml:space="preserve">T6 — Generator Growth Law</w:t>
      </w:r>
    </w:p>
    <w:p>
      <w:pPr>
        <w:pStyle w:val="FirstParagraph"/>
      </w:pPr>
      <w:r>
        <w:t xml:space="preserve">If finite generators update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⊔</m:t>
          </m:r>
          <m:nary>
            <m:naryPr>
              <m:chr m:val="∐"/>
              <m:limLoc m:val="undOvr"/>
              <m:subHide m:val="off"/>
              <m:supHide m:val="on"/>
            </m:naryPr>
            <m:sub>
              <m:r>
                <m:t>w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G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w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finite witness set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Δ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w</m:t>
                  </m:r>
                </m:e>
              </m:d>
              <m:r>
                <m:rPr>
                  <m:sty m:val="p"/>
                </m:rPr>
                <m:t>.</m:t>
              </m:r>
            </m:e>
          </m:borderBox>
        </m:oMath>
      </m:oMathPara>
    </w:p>
    <w:bookmarkEnd w:id="36"/>
    <w:bookmarkStart w:id="37" w:name="X49f9cf31d1d188fb5ec2985816fb352f314d2a6"/>
    <w:p>
      <w:pPr>
        <w:pStyle w:val="Heading3"/>
      </w:pPr>
      <w:r>
        <w:t xml:space="preserve">T7 — Skeleton Preservation / No Silent Mutation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:</m:t>
        </m:r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be a licensed lift, and let</w:t>
      </w:r>
      <w:r>
        <w:t xml:space="preserve">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:</m:t>
        </m:r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its forgetful comparison.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ans-serif"/>
                </m:rPr>
                <m:t>L</m:t>
              </m:r>
              <m:r>
                <m:rPr>
                  <m:sty m:val="p"/>
                  <m:scr m:val="sans-serif"/>
                </m:rPr>
                <m:t>F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n</m:t>
              </m:r>
            </m:sub>
          </m:sSub>
          <m:sSub>
            <m:e>
              <m:r>
                <m:t>F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certified old skeleton data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Skel</m:t>
            </m:r>
          </m:e>
          <m:sub>
            <m:r>
              <m:t>n</m:t>
            </m:r>
          </m:sub>
        </m:sSub>
      </m:oMath>
      <w:r>
        <w:t xml:space="preserve">, preservation requires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q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ty m:val="p"/>
                    </m:rPr>
                    <m:t>Skel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sSub>
          <m:e>
            <m:r>
              <m:t>F</m:t>
            </m:r>
          </m:e>
          <m:sub>
            <m:r>
              <m:t>n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q</m:t>
            </m:r>
          </m:e>
        </m:d>
        <m:r>
          <m:rPr>
            <m:sty m:val="p"/>
          </m:rPr>
          <m:t>≠</m:t>
        </m:r>
        <m:r>
          <m:t>q</m:t>
        </m:r>
      </m:oMath>
      <w:r>
        <w:t xml:space="preserve"> </w:t>
      </w:r>
      <w:r>
        <w:t xml:space="preserve">without an explicit terminal tag declaring refinement, quotienting, invalidation, or refusal, then the lift commits silent mutation.</w:t>
      </w:r>
    </w:p>
    <w:bookmarkEnd w:id="37"/>
    <w:bookmarkEnd w:id="38"/>
    <w:bookmarkStart w:id="39" w:name="closure-trichotomy"/>
    <w:p>
      <w:pPr>
        <w:pStyle w:val="Heading2"/>
      </w:pPr>
      <w:r>
        <w:t xml:space="preserve">9. Closure Trichotomy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sSubSup>
          <m:e>
            <m:r>
              <m:t>Q</m:t>
            </m:r>
          </m:e>
          <m:sub>
            <m:r>
              <m:t>n</m:t>
            </m:r>
          </m:sub>
          <m:sup>
            <m:r>
              <m:t>1</m:t>
            </m:r>
          </m:sup>
        </m:sSubSup>
      </m:oMath>
      <w:r>
        <w:t xml:space="preserve">,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ans-serif"/>
                </m:rPr>
                <m:t>E</m:t>
              </m:r>
              <m:r>
                <m:rPr>
                  <m:sty m:val="p"/>
                  <m:scr m:val="sans-serif"/>
                </m:rPr>
                <m:t>x</m:t>
              </m:r>
              <m:r>
                <m:rPr>
                  <m:sty m:val="p"/>
                  <m:scr m:val="sans-serif"/>
                </m:rPr>
                <m:t>a</m:t>
              </m:r>
              <m:r>
                <m:rPr>
                  <m:sty m:val="p"/>
                  <m:scr m:val="sans-serif"/>
                </m:rPr>
                <m:t>c</m:t>
              </m:r>
              <m:r>
                <m:rPr>
                  <m:sty m:val="p"/>
                  <m:scr m:val="sans-serif"/>
                </m:rPr>
                <m:t>t</m:t>
              </m:r>
            </m:e>
            <m:sub>
              <m:r>
                <m:t>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</m:e>
          </m:d>
          <m:r>
            <m:rPr>
              <m:sty m:val="p"/>
            </m:rPr>
            <m:t>⇔</m:t>
          </m:r>
          <m:sSub>
            <m:e>
              <m:r>
                <m:t>Φ</m:t>
              </m:r>
            </m:e>
            <m:sub>
              <m:r>
                <m:t>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ans-serif"/>
                </m:rPr>
                <m:t>S</m:t>
              </m:r>
              <m:r>
                <m:rPr>
                  <m:sty m:val="p"/>
                  <m:scr m:val="sans-serif"/>
                </m:rPr>
                <m:t>u</m:t>
              </m:r>
              <m:r>
                <m:rPr>
                  <m:sty m:val="p"/>
                  <m:scr m:val="sans-serif"/>
                </m:rPr>
                <m:t>r</m:t>
              </m:r>
              <m:r>
                <m:rPr>
                  <m:sty m:val="p"/>
                  <m:scr m:val="sans-serif"/>
                </m:rPr>
                <m:t>v</m:t>
              </m:r>
              <m:r>
                <m:rPr>
                  <m:sty m:val="p"/>
                  <m:scr m:val="sans-serif"/>
                </m:rPr>
                <m:t>i</m:t>
              </m:r>
              <m:r>
                <m:rPr>
                  <m:sty m:val="p"/>
                  <m:scr m:val="sans-serif"/>
                </m:rPr>
                <m:t>v</m:t>
              </m:r>
              <m:r>
                <m:rPr>
                  <m:sty m:val="p"/>
                  <m:scr m:val="sans-serif"/>
                </m:rPr>
                <m:t>o</m:t>
              </m:r>
              <m:r>
                <m:rPr>
                  <m:sty m:val="p"/>
                  <m:scr m:val="sans-serif"/>
                </m:rPr>
                <m:t>r</m:t>
              </m:r>
            </m:e>
            <m:sub>
              <m:r>
                <m:t>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</m:e>
          </m:d>
          <m:r>
            <m:rPr>
              <m:sty m:val="p"/>
            </m:rPr>
            <m:t>⇔</m:t>
          </m:r>
          <m:sSub>
            <m:e>
              <m:r>
                <m:t>Φ</m:t>
              </m:r>
            </m:e>
            <m:sub>
              <m:r>
                <m:t>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</m:e>
          </m:d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∧</m:t>
          </m:r>
          <m:sSub>
            <m:e>
              <m:acc>
                <m:accPr>
                  <m:chr m:val="‾"/>
                </m:accPr>
                <m:e>
                  <m:r>
                    <m:t>d</m:t>
                  </m:r>
                </m:e>
              </m:acc>
            </m:e>
            <m:sub>
              <m:r>
                <m:t>1</m:t>
              </m:r>
              <m:r>
                <m:rPr>
                  <m:sty m:val="p"/>
                </m:rPr>
                <m:t>,</m:t>
              </m:r>
              <m:r>
                <m:t>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ans-serif"/>
                </m:rPr>
                <m:t>O</m:t>
              </m:r>
              <m:r>
                <m:rPr>
                  <m:sty m:val="p"/>
                  <m:scr m:val="sans-serif"/>
                </m:rPr>
                <m:t>p</m:t>
              </m:r>
              <m:r>
                <m:rPr>
                  <m:sty m:val="p"/>
                  <m:scr m:val="sans-serif"/>
                </m:rPr>
                <m:t>e</m:t>
              </m:r>
              <m:r>
                <m:rPr>
                  <m:sty m:val="p"/>
                  <m:scr m:val="sans-serif"/>
                </m:rPr>
                <m:t>n</m:t>
              </m:r>
            </m:e>
            <m:sub>
              <m:r>
                <m:t>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</m:e>
          </m:d>
          <m:r>
            <m:rPr>
              <m:sty m:val="p"/>
            </m:rPr>
            <m:t>⇔</m:t>
          </m:r>
          <m:sSub>
            <m:e>
              <m:r>
                <m:t>Φ</m:t>
              </m:r>
            </m:e>
            <m:sub>
              <m:r>
                <m:t>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</m:e>
          </m:d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∧</m:t>
          </m:r>
          <m:sSub>
            <m:e>
              <m:acc>
                <m:accPr>
                  <m:chr m:val="‾"/>
                </m:accPr>
                <m:e>
                  <m:r>
                    <m:t>d</m:t>
                  </m:r>
                </m:e>
              </m:acc>
            </m:e>
            <m:sub>
              <m:r>
                <m:t>1</m:t>
              </m:r>
              <m:r>
                <m:rPr>
                  <m:sty m:val="p"/>
                </m:rPr>
                <m:t>,</m:t>
              </m:r>
              <m:r>
                <m:t>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</m:e>
          </m:d>
          <m:r>
            <m:rPr>
              <m:sty m:val="p"/>
            </m:rPr>
            <m:t>≠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Finite dimensionality gives the disjoint partition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Q</m:t>
              </m:r>
            </m:e>
            <m:sub>
              <m:r>
                <m:t>n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sans-serif"/>
                </m:rPr>
                <m:t>E</m:t>
              </m:r>
              <m:r>
                <m:rPr>
                  <m:sty m:val="p"/>
                  <m:scr m:val="sans-serif"/>
                </m:rPr>
                <m:t>x</m:t>
              </m:r>
              <m:r>
                <m:rPr>
                  <m:sty m:val="p"/>
                  <m:scr m:val="sans-serif"/>
                </m:rPr>
                <m:t>a</m:t>
              </m:r>
              <m:r>
                <m:rPr>
                  <m:sty m:val="p"/>
                  <m:scr m:val="sans-serif"/>
                </m:rPr>
                <m:t>c</m:t>
              </m:r>
              <m:r>
                <m:rPr>
                  <m:sty m:val="p"/>
                  <m:scr m:val="sans-serif"/>
                </m:rPr>
                <m:t>t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⊔</m:t>
          </m:r>
          <m:sSub>
            <m:e>
              <m:r>
                <m:rPr>
                  <m:sty m:val="p"/>
                  <m:scr m:val="sans-serif"/>
                </m:rPr>
                <m:t>S</m:t>
              </m:r>
              <m:r>
                <m:rPr>
                  <m:sty m:val="p"/>
                  <m:scr m:val="sans-serif"/>
                </m:rPr>
                <m:t>u</m:t>
              </m:r>
              <m:r>
                <m:rPr>
                  <m:sty m:val="p"/>
                  <m:scr m:val="sans-serif"/>
                </m:rPr>
                <m:t>r</m:t>
              </m:r>
              <m:r>
                <m:rPr>
                  <m:sty m:val="p"/>
                  <m:scr m:val="sans-serif"/>
                </m:rPr>
                <m:t>v</m:t>
              </m:r>
              <m:r>
                <m:rPr>
                  <m:sty m:val="p"/>
                  <m:scr m:val="sans-serif"/>
                </m:rPr>
                <m:t>i</m:t>
              </m:r>
              <m:r>
                <m:rPr>
                  <m:sty m:val="p"/>
                  <m:scr m:val="sans-serif"/>
                </m:rPr>
                <m:t>v</m:t>
              </m:r>
              <m:r>
                <m:rPr>
                  <m:sty m:val="p"/>
                  <m:scr m:val="sans-serif"/>
                </m:rPr>
                <m:t>o</m:t>
              </m:r>
              <m:r>
                <m:rPr>
                  <m:sty m:val="p"/>
                  <m:scr m:val="sans-serif"/>
                </m:rP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⊔</m:t>
          </m:r>
          <m:sSub>
            <m:e>
              <m:r>
                <m:rPr>
                  <m:sty m:val="p"/>
                  <m:scr m:val="sans-serif"/>
                </m:rPr>
                <m:t>O</m:t>
              </m:r>
              <m:r>
                <m:rPr>
                  <m:sty m:val="p"/>
                  <m:scr m:val="sans-serif"/>
                </m:rPr>
                <m:t>p</m:t>
              </m:r>
              <m:r>
                <m:rPr>
                  <m:sty m:val="p"/>
                  <m:scr m:val="sans-serif"/>
                </m:rPr>
                <m:t>e</m:t>
              </m:r>
              <m:r>
                <m:rPr>
                  <m:sty m:val="p"/>
                  <m:scr m:val="sans-serif"/>
                </m:rPr>
                <m:t>n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survivor is a closed non-exact quotient residual. An open obstruction is not yet structure; it requires repair, lift, refusal, or budget boundary.</w:t>
      </w:r>
    </w:p>
    <w:bookmarkEnd w:id="39"/>
    <w:bookmarkStart w:id="40" w:name="observers-and-epistemic-quotients"/>
    <w:p>
      <w:pPr>
        <w:pStyle w:val="Heading2"/>
      </w:pPr>
      <w:r>
        <w:t xml:space="preserve">10. Observers and Epistemic Quotients</w:t>
      </w:r>
    </w:p>
    <w:p>
      <w:pPr>
        <w:pStyle w:val="FirstParagraph"/>
      </w:pPr>
      <w:r>
        <w:t xml:space="preserve">An observer is a finite, deterministic, repair-compatible quotient map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O</m:t>
          </m:r>
          <m:r>
            <m:rPr>
              <m:sty m:val="p"/>
            </m:rPr>
            <m:t>:</m:t>
          </m:r>
          <m:sSubSup>
            <m:e>
              <m:r>
                <m:t>Q</m:t>
              </m:r>
            </m:e>
            <m:sub>
              <m:r>
                <m:t>n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→</m:t>
          </m:r>
          <m:sSubSup>
            <m:e>
              <m:r>
                <m:t>Q</m:t>
              </m:r>
            </m:e>
            <m:sub>
              <m:r>
                <m:rPr>
                  <m:sty m:val="p"/>
                  <m:scr m:val="script"/>
                </m:rPr>
                <m:t>O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Observer quotients are epistemic structure. They erase or identify distinctions. They do not create obstruction.</w:t>
      </w:r>
    </w:p>
    <w:p>
      <w:pPr>
        <w:pStyle w:val="BodyText"/>
      </w:pPr>
      <w:r>
        <w:t xml:space="preserve">Cross-observer stability is always relative to a declared finite observer family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fraktur"/>
                </m:rPr>
                <m:t>O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b>
            <m:e>
              <m:r>
                <m:rPr>
                  <m:sty m:val="p"/>
                  <m:scr m:val="script"/>
                </m:rPr>
                <m:t>O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rPr>
                  <m:sty m:val="p"/>
                  <m:scr m:val="script"/>
                </m:rPr>
                <m:t>O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class is observer-invariant only relative to a proven observer class.</w:t>
      </w:r>
    </w:p>
    <w:bookmarkEnd w:id="40"/>
    <w:bookmarkStart w:id="41" w:name="terminal-semantics"/>
    <w:p>
      <w:pPr>
        <w:pStyle w:val="Heading2"/>
      </w:pPr>
      <w:r>
        <w:t xml:space="preserve">11. Terminal Semantics</w:t>
      </w:r>
    </w:p>
    <w:p>
      <w:pPr>
        <w:pStyle w:val="FirstParagraph"/>
      </w:pPr>
      <w:r>
        <w:t xml:space="preserve">A verified obstruction class terminalizes into one of the following schematic statuses: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  <m:scr m:val="sans-serif"/>
                </m:rPr>
                <m:t>E</m:t>
              </m:r>
              <m:r>
                <m:rPr>
                  <m:sty m:val="p"/>
                  <m:scr m:val="sans-serif"/>
                </m:rPr>
                <m:t>x</m:t>
              </m:r>
              <m:r>
                <m:rPr>
                  <m:sty m:val="p"/>
                  <m:scr m:val="sans-serif"/>
                </m:rPr>
                <m:t>a</m:t>
              </m:r>
              <m:r>
                <m:rPr>
                  <m:sty m:val="p"/>
                  <m:scr m:val="sans-serif"/>
                </m:rPr>
                <m:t>c</m:t>
              </m:r>
              <m:r>
                <m:rPr>
                  <m:sty m:val="p"/>
                  <m:scr m:val="sans-serif"/>
                </m:rP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zero obstruction under declared repair image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  <m:scr m:val="sans-serif"/>
                </m:rPr>
                <m:t>S</m:t>
              </m:r>
              <m:r>
                <m:rPr>
                  <m:sty m:val="p"/>
                  <m:scr m:val="sans-serif"/>
                </m:rPr>
                <m:t>u</m:t>
              </m:r>
              <m:r>
                <m:rPr>
                  <m:sty m:val="p"/>
                  <m:scr m:val="sans-serif"/>
                </m:rPr>
                <m:t>r</m:t>
              </m:r>
              <m:r>
                <m:rPr>
                  <m:sty m:val="p"/>
                  <m:scr m:val="sans-serif"/>
                </m:rPr>
                <m:t>v</m:t>
              </m:r>
              <m:r>
                <m:rPr>
                  <m:sty m:val="p"/>
                  <m:scr m:val="sans-serif"/>
                </m:rPr>
                <m:t>i</m:t>
              </m:r>
              <m:r>
                <m:rPr>
                  <m:sty m:val="p"/>
                  <m:scr m:val="sans-serif"/>
                </m:rPr>
                <m:t>v</m:t>
              </m:r>
              <m:r>
                <m:rPr>
                  <m:sty m:val="p"/>
                  <m:scr m:val="sans-serif"/>
                </m:rPr>
                <m:t>o</m:t>
              </m:r>
              <m:r>
                <m:rPr>
                  <m:sty m:val="p"/>
                  <m:scr m:val="sans-serif"/>
                </m:rP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closed non-exact residual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  <m:scr m:val="sans-serif"/>
                </m:rPr>
                <m:t>O</m:t>
              </m:r>
              <m:r>
                <m:rPr>
                  <m:sty m:val="p"/>
                  <m:scr m:val="sans-serif"/>
                </m:rPr>
                <m:t>p</m:t>
              </m:r>
              <m:r>
                <m:rPr>
                  <m:sty m:val="p"/>
                  <m:scr m:val="sans-serif"/>
                </m:rPr>
                <m:t>e</m:t>
              </m:r>
              <m:r>
                <m:rPr>
                  <m:sty m:val="p"/>
                  <m:scr m:val="sans-serif"/>
                </m:rP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nonzero obstruction with nonzero closure mass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  <m:scr m:val="sans-serif"/>
                </m:rPr>
                <m:t>L</m:t>
              </m:r>
              <m:r>
                <m:rPr>
                  <m:sty m:val="p"/>
                  <m:scr m:val="sans-serif"/>
                </m:rPr>
                <m:t>i</m:t>
              </m:r>
              <m:r>
                <m:rPr>
                  <m:sty m:val="p"/>
                  <m:scr m:val="sans-serif"/>
                </m:rPr>
                <m:t>c</m:t>
              </m:r>
              <m:r>
                <m:rPr>
                  <m:sty m:val="p"/>
                  <m:scr m:val="sans-serif"/>
                </m:rPr>
                <m:t>e</m:t>
              </m:r>
              <m:r>
                <m:rPr>
                  <m:sty m:val="p"/>
                  <m:scr m:val="sans-serif"/>
                </m:rPr>
                <m:t>n</m:t>
              </m:r>
              <m:r>
                <m:rPr>
                  <m:sty m:val="p"/>
                  <m:scr m:val="sans-serif"/>
                </m:rPr>
                <m:t>s</m:t>
              </m:r>
              <m:r>
                <m:rPr>
                  <m:sty m:val="p"/>
                  <m:scr m:val="sans-serif"/>
                </m:rPr>
                <m:t>e</m:t>
              </m:r>
              <m:r>
                <m:rPr>
                  <m:sty m:val="p"/>
                  <m:scr m:val="sans-serif"/>
                </m:rPr>
                <m:t>d</m:t>
              </m:r>
              <m:r>
                <m:rPr>
                  <m:sty m:val="p"/>
                  <m:scr m:val="sans-serif"/>
                </m:rPr>
                <m:t>L</m:t>
              </m:r>
              <m:r>
                <m:rPr>
                  <m:sty m:val="p"/>
                  <m:scr m:val="sans-serif"/>
                </m:rPr>
                <m:t>i</m:t>
              </m:r>
              <m:r>
                <m:rPr>
                  <m:sty m:val="p"/>
                  <m:scr m:val="sans-serif"/>
                </m:rPr>
                <m:t>f</m:t>
              </m:r>
              <m:r>
                <m:rPr>
                  <m:sty m:val="p"/>
                  <m:scr m:val="sans-serif"/>
                </m:rP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context witness plus valid lift contract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  <m:scr m:val="sans-serif"/>
                </m:rPr>
                <m:t>B</m:t>
              </m:r>
              <m:r>
                <m:rPr>
                  <m:sty m:val="p"/>
                  <m:scr m:val="sans-serif"/>
                </m:rPr>
                <m:t>u</m:t>
              </m:r>
              <m:r>
                <m:rPr>
                  <m:sty m:val="p"/>
                  <m:scr m:val="sans-serif"/>
                </m:rPr>
                <m:t>d</m:t>
              </m:r>
              <m:r>
                <m:rPr>
                  <m:sty m:val="p"/>
                  <m:scr m:val="sans-serif"/>
                </m:rPr>
                <m:t>g</m:t>
              </m:r>
              <m:r>
                <m:rPr>
                  <m:sty m:val="p"/>
                  <m:scr m:val="sans-serif"/>
                </m:rPr>
                <m:t>e</m:t>
              </m:r>
              <m:r>
                <m:rPr>
                  <m:sty m:val="p"/>
                  <m:scr m:val="sans-serif"/>
                </m:rPr>
                <m:t>t</m:t>
              </m:r>
              <m:r>
                <m:rPr>
                  <m:sty m:val="p"/>
                  <m:scr m:val="sans-serif"/>
                </m:rPr>
                <m:t>U</m:t>
              </m:r>
              <m:r>
                <m:rPr>
                  <m:sty m:val="p"/>
                  <m:scr m:val="sans-serif"/>
                </m:rPr>
                <m:t>n</m:t>
              </m:r>
              <m:r>
                <m:rPr>
                  <m:sty m:val="p"/>
                  <m:scr m:val="sans-serif"/>
                </m:rPr>
                <m:t>k</m:t>
              </m:r>
              <m:r>
                <m:rPr>
                  <m:sty m:val="p"/>
                  <m:scr m:val="sans-serif"/>
                </m:rPr>
                <m:t>n</m:t>
              </m:r>
              <m:r>
                <m:rPr>
                  <m:sty m:val="p"/>
                  <m:scr m:val="sans-serif"/>
                </m:rPr>
                <m:t>o</m:t>
              </m:r>
              <m:r>
                <m:rPr>
                  <m:sty m:val="p"/>
                  <m:scr m:val="sans-serif"/>
                </m:rPr>
                <m:t>w</m:t>
              </m:r>
              <m:r>
                <m:rPr>
                  <m:sty m:val="p"/>
                  <m:scr m:val="sans-serif"/>
                </m:rP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finite budget exhausted without authority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  <m:scr m:val="sans-serif"/>
                </m:rPr>
                <m:t>N</m:t>
              </m:r>
              <m:r>
                <m:rPr>
                  <m:sty m:val="p"/>
                  <m:scr m:val="sans-serif"/>
                </m:rPr>
                <m:t>o</m:t>
              </m:r>
              <m:r>
                <m:rPr>
                  <m:sty m:val="p"/>
                  <m:scr m:val="sans-serif"/>
                </m:rPr>
                <m:t>R</m:t>
              </m:r>
              <m:r>
                <m:rPr>
                  <m:sty m:val="p"/>
                  <m:scr m:val="sans-serif"/>
                </m:rPr>
                <m:t>u</m:t>
              </m:r>
              <m:r>
                <m:rPr>
                  <m:sty m:val="p"/>
                  <m:scr m:val="sans-serif"/>
                </m:rPr>
                <m:t>l</m:t>
              </m:r>
              <m:r>
                <m:rPr>
                  <m:sty m:val="p"/>
                  <m:scr m:val="sans-serif"/>
                </m:rPr>
                <m:t>e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no declared rule licenses the move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  <m:scr m:val="sans-serif"/>
                </m:rPr>
                <m:t>T</m:t>
              </m:r>
              <m:r>
                <m:rPr>
                  <m:sty m:val="p"/>
                  <m:scr m:val="sans-serif"/>
                </m:rPr>
                <m:t>y</m:t>
              </m:r>
              <m:r>
                <m:rPr>
                  <m:sty m:val="p"/>
                  <m:scr m:val="sans-serif"/>
                </m:rPr>
                <m:t>p</m:t>
              </m:r>
              <m:r>
                <m:rPr>
                  <m:sty m:val="p"/>
                  <m:scr m:val="sans-serif"/>
                </m:rPr>
                <m:t>e</m:t>
              </m:r>
              <m:r>
                <m:rPr>
                  <m:sty m:val="p"/>
                  <m:scr m:val="sans-serif"/>
                </m:rPr>
                <m:t>d</m:t>
              </m:r>
              <m:r>
                <m:rPr>
                  <m:sty m:val="p"/>
                  <m:scr m:val="sans-serif"/>
                </m:rPr>
                <m:t>R</m:t>
              </m:r>
              <m:r>
                <m:rPr>
                  <m:sty m:val="p"/>
                  <m:scr m:val="sans-serif"/>
                </m:rPr>
                <m:t>e</m:t>
              </m:r>
              <m:r>
                <m:rPr>
                  <m:sty m:val="p"/>
                  <m:scr m:val="sans-serif"/>
                </m:rPr>
                <m:t>f</m:t>
              </m:r>
              <m:r>
                <m:rPr>
                  <m:sty m:val="p"/>
                  <m:scr m:val="sans-serif"/>
                </m:rPr>
                <m:t>u</m:t>
              </m:r>
              <m:r>
                <m:rPr>
                  <m:sty m:val="p"/>
                  <m:scr m:val="sans-serif"/>
                </m:rPr>
                <m:t>s</m:t>
              </m:r>
              <m:r>
                <m:rPr>
                  <m:sty m:val="p"/>
                  <m:scr m:val="sans-serif"/>
                </m:rPr>
                <m:t>a</m:t>
              </m:r>
              <m:r>
                <m:rPr>
                  <m:sty m:val="p"/>
                  <m:scr m:val="sans-serif"/>
                </m:rPr>
                <m:t>l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claim falls outside the current authority regime</w:t>
            </w:r>
          </w:p>
        </w:tc>
      </w:tr>
    </w:tbl>
    <w:p>
      <w:pPr>
        <w:pStyle w:val="BodyText"/>
      </w:pPr>
      <w:r>
        <w:t xml:space="preserve">Non-exact obstruction never silently authorizes exactness.</w:t>
      </w:r>
    </w:p>
    <w:bookmarkEnd w:id="41"/>
    <w:bookmarkStart w:id="42" w:name="compact-formula-sheet"/>
    <w:p>
      <w:pPr>
        <w:pStyle w:val="Heading2"/>
      </w:pPr>
      <w:r>
        <w:t xml:space="preserve">12. Compact Formula Sheet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C</m:t>
              </m:r>
            </m:e>
            <m:sup>
              <m:r>
                <m:t>0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</m:lim>
          </m:limUpp>
          <m:sSup>
            <m:e>
              <m:r>
                <m:t>C</m:t>
              </m:r>
            </m:e>
            <m:sup>
              <m:r>
                <m:t>1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lim>
          </m:limUpp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d</m:t>
              </m:r>
            </m:e>
            <m:sub>
              <m:r>
                <m:t>1</m:t>
              </m:r>
            </m:sub>
          </m:sSub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im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Q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π</m:t>
          </m:r>
          <m:r>
            <m:rPr>
              <m:sty m:val="p"/>
            </m:rPr>
            <m:t>:</m:t>
          </m:r>
          <m:sSup>
            <m:e>
              <m:r>
                <m:t>C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→</m:t>
          </m:r>
          <m:sSup>
            <m:e>
              <m:r>
                <m:t>Q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d</m:t>
                  </m:r>
                </m:e>
              </m:acc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x</m:t>
                  </m:r>
                </m:e>
              </m:d>
            </m:e>
          </m:d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H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ker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d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≅</m:t>
          </m:r>
          <m:r>
            <m:rPr>
              <m:sty m:val="p"/>
            </m:rPr>
            <m:t>ker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/</m:t>
          </m:r>
          <m:r>
            <m:rPr>
              <m:sty m:val="p"/>
            </m:rPr>
            <m:t>im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Φ</m:t>
          </m:r>
          <m:d>
            <m:dPr>
              <m:begChr m:val="("/>
              <m:endChr m:val=")"/>
              <m:sepChr m:val=""/>
              <m:grow/>
            </m:dPr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x</m:t>
                  </m:r>
                </m:e>
              </m:d>
            </m:e>
          </m:d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inf</m:t>
              </m:r>
            </m:e>
            <m:lim>
              <m:r>
                <m:t>α</m:t>
              </m:r>
              <m:r>
                <m:rPr>
                  <m:sty m:val="p"/>
                </m:rPr>
                <m:t>∈</m:t>
              </m:r>
              <m:sSup>
                <m:e>
                  <m:r>
                    <m:t>C</m:t>
                  </m:r>
                </m:e>
                <m:sup>
                  <m:r>
                    <m:t>0</m:t>
                  </m:r>
                </m:sup>
              </m:sSup>
            </m:lim>
          </m:limLow>
          <m:r>
            <m:rPr>
              <m:sty m:val="p"/>
            </m:rPr>
            <m:t>∥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t>α</m:t>
          </m:r>
          <m:r>
            <m:rPr>
              <m:sty m:val="p"/>
            </m:rPr>
            <m:t>∥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Γ</m:t>
          </m:r>
          <m:d>
            <m:dPr>
              <m:begChr m:val="("/>
              <m:endChr m:val=")"/>
              <m:sepChr m:val=""/>
              <m:grow/>
            </m:dPr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x</m:t>
                  </m:r>
                </m:e>
              </m:d>
            </m:e>
          </m:d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sSub>
            <m:e>
              <m:acc>
                <m:accPr>
                  <m:chr m:val="‾"/>
                </m:accPr>
                <m:e>
                  <m:r>
                    <m:t>d</m:t>
                  </m:r>
                </m:e>
              </m:acc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x</m:t>
                  </m:r>
                </m:e>
              </m:d>
            </m:e>
          </m:d>
          <m:r>
            <m:rPr>
              <m:sty m:val="p"/>
            </m:rPr>
            <m:t>∥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∼</m:t>
          </m:r>
          <m:r>
            <m:t>y</m:t>
          </m:r>
          <m:r>
            <m:rPr>
              <m:sty m:val="p"/>
            </m:rPr>
            <m:t>⇔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Lift trigger:</w:t>
      </w:r>
      <w:r>
        <w:t xml:space="preserve"> </w:t>
      </w:r>
      <w:r>
        <w:t xml:space="preserve">there exist finite objects</w:t>
      </w:r>
      <w:r>
        <w:t xml:space="preserve"> </w:t>
      </w: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y</w:t>
      </w:r>
      <w:r>
        <w:t xml:space="preserve">, and context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such that</w:t>
      </w:r>
      <w:r>
        <w:t xml:space="preserve"> </w:t>
      </w:r>
      <w:r>
        <w:rPr>
          <w:rStyle w:val="VerbatimChar"/>
        </w:rPr>
        <w:t xml:space="preserve">x ~ y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rho(c)x</w:t>
      </w:r>
      <w:r>
        <w:t xml:space="preserve"> </w:t>
      </w:r>
      <w:r>
        <w:t xml:space="preserve">is not equivalent to</w:t>
      </w:r>
      <w:r>
        <w:t xml:space="preserve"> </w:t>
      </w:r>
      <w:r>
        <w:rPr>
          <w:rStyle w:val="VerbatimChar"/>
        </w:rPr>
        <w:t xml:space="preserve">rho(c)y</w:t>
      </w:r>
      <w:r>
        <w:t xml:space="preserve">.</w:t>
      </w:r>
    </w:p>
    <w:bookmarkEnd w:id="42"/>
    <w:bookmarkStart w:id="43" w:name="minimal-theorem-statement"/>
    <w:p>
      <w:pPr>
        <w:pStyle w:val="Heading2"/>
      </w:pPr>
      <w:r>
        <w:t xml:space="preserve">13. Minimal Theorem Statement</w:t>
      </w:r>
    </w:p>
    <w:p>
      <w:pPr>
        <w:pStyle w:val="FirstParagraph"/>
      </w:pPr>
      <w:r>
        <w:t xml:space="preserve">A finite contextual obstruction system has theorem-grade authority only after finite realization. Its exact repair classes form</w:t>
      </w:r>
      <w:r>
        <w:t xml:space="preserve"> </w:t>
      </w:r>
      <m:oMath>
        <m:sSup>
          <m:e>
            <m:r>
              <m:t>B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im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, its obstruction quotient is</w:t>
      </w:r>
      <w:r>
        <w:t xml:space="preserve"> </w:t>
      </w:r>
      <m:oMath>
        <m:sSup>
          <m:e>
            <m:r>
              <m:t>Q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1</m:t>
            </m:r>
          </m:sup>
        </m:sSup>
        <m:r>
          <m:rPr>
            <m:sty m:val="p"/>
          </m:rPr>
          <m:t>/</m:t>
        </m:r>
        <m:sSup>
          <m:e>
            <m:r>
              <m:t>B</m:t>
            </m:r>
          </m:e>
          <m:sup>
            <m:r>
              <m:t>1</m:t>
            </m:r>
          </m:sup>
        </m:sSup>
      </m:oMath>
      <w:r>
        <w:t xml:space="preserve">, and its closed residual sector is</w:t>
      </w:r>
      <w:r>
        <w:t xml:space="preserve"> </w:t>
      </w:r>
      <m:oMath>
        <m:sSup>
          <m:e>
            <m:r>
              <m:t>H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ker</m:t>
        </m:r>
        <m:d>
          <m:dPr>
            <m:begChr m:val="("/>
            <m:endChr m:val=")"/>
            <m:sepChr m:val="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d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</m:oMath>
      <w:r>
        <w:t xml:space="preserve">. A positive obstruction class blocks exactness but does not by itself license lift. Lift requires context-visible non-congruence plus a finite resolver/lift contract. Any representation extension that changes certified skeleton data without explicit terminal tagging commits silent mutation.</w:t>
      </w:r>
    </w:p>
    <w:bookmarkEnd w:id="43"/>
    <w:bookmarkStart w:id="44" w:name="safe-claims"/>
    <w:p>
      <w:pPr>
        <w:pStyle w:val="Heading2"/>
      </w:pPr>
      <w:r>
        <w:t xml:space="preserve">14. Safe Claims</w:t>
      </w:r>
    </w:p>
    <w:p>
      <w:pPr>
        <w:pStyle w:val="Compact"/>
        <w:numPr>
          <w:ilvl w:val="0"/>
          <w:numId w:val="1002"/>
        </w:numPr>
      </w:pPr>
      <w:r>
        <w:t xml:space="preserve">The finite obstruction core is a finite cochain complex with certified quotient obstruction.</w:t>
      </w:r>
    </w:p>
    <w:p>
      <w:pPr>
        <w:pStyle w:val="Compact"/>
        <w:numPr>
          <w:ilvl w:val="0"/>
          <w:numId w:val="1002"/>
        </w:numPr>
      </w:pPr>
      <w:r>
        <w:t xml:space="preserve">Exactness is zero class in</w:t>
      </w:r>
      <w:r>
        <w:t xml:space="preserve"> </w:t>
      </w:r>
      <m:oMath>
        <m:sSup>
          <m:e>
            <m:r>
              <m:t>Q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Closed non-exact residuals are nonzero elements of</w:t>
      </w:r>
      <w:r>
        <w:t xml:space="preserve"> </w:t>
      </w:r>
      <m:oMath>
        <m:sSup>
          <m:e>
            <m:r>
              <m:t>H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Φ</m:t>
        </m:r>
      </m:oMath>
      <w:r>
        <w:t xml:space="preserve"> </w:t>
      </w:r>
      <w:r>
        <w:t xml:space="preserve">is a declared finite-gauge quotient norm, not a universal metaphysical norm.</w:t>
      </w:r>
    </w:p>
    <w:p>
      <w:pPr>
        <w:pStyle w:val="Compact"/>
        <w:numPr>
          <w:ilvl w:val="0"/>
          <w:numId w:val="1002"/>
        </w:numPr>
      </w:pPr>
      <w:r>
        <w:t xml:space="preserve">Context-visible non-congruence is the core lift trigger.</w:t>
      </w:r>
    </w:p>
    <w:p>
      <w:pPr>
        <w:pStyle w:val="Compact"/>
        <w:numPr>
          <w:ilvl w:val="0"/>
          <w:numId w:val="1002"/>
        </w:numPr>
      </w:pPr>
      <w:r>
        <w:t xml:space="preserve">Licensed lift requires witness, resolver, minimality, preservation, and replay certificates.</w:t>
      </w:r>
    </w:p>
    <w:p>
      <w:pPr>
        <w:pStyle w:val="Compact"/>
        <w:numPr>
          <w:ilvl w:val="0"/>
          <w:numId w:val="1002"/>
        </w:numPr>
      </w:pPr>
      <w:r>
        <w:t xml:space="preserve">Observer quotients do not create obstruction.</w:t>
      </w:r>
    </w:p>
    <w:p>
      <w:pPr>
        <w:pStyle w:val="Compact"/>
        <w:numPr>
          <w:ilvl w:val="0"/>
          <w:numId w:val="1002"/>
        </w:numPr>
      </w:pPr>
      <w:r>
        <w:t xml:space="preserve">Speculative bridges require separate finite descent packets.</w:t>
      </w:r>
    </w:p>
    <w:bookmarkEnd w:id="44"/>
    <w:bookmarkStart w:id="45" w:name="boundary"/>
    <w:p>
      <w:pPr>
        <w:pStyle w:val="Heading2"/>
      </w:pPr>
      <w:r>
        <w:t xml:space="preserve">15. Boundary</w:t>
      </w:r>
    </w:p>
    <w:p>
      <w:pPr>
        <w:pStyle w:val="FirstParagraph"/>
      </w:pPr>
      <w:r>
        <w:t xml:space="preserve">The finite obstruction calculus is expansive by extension, not by implication. New domains may be represented, reflected, or connected only after a finite realization and certificate path is supplied.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2026-05-15T02:28:36Z</dcterms:created>
  <dcterms:modified xsi:type="dcterms:W3CDTF">2026-05-15T02:28:36Z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