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Battery Energy Storage for Data Center Grid Flexibility:</w:t>
        <w:br/>
        <w:t>A Quantitative Analysis of Dublin's I-SEM Market</w:t>
      </w:r>
    </w:p>
    <w:p>
      <w:pPr>
        <w:pStyle w:val="Heading1"/>
      </w:pPr>
      <w:r>
        <w:t>Table of Contents</w:t>
      </w:r>
    </w:p>
    <w:p>
      <w:r>
        <w:rPr>
          <w:i/>
          <w:color w:val="999999"/>
        </w:rPr>
        <w:t>[Insert table of contents before final submission]</w:t>
      </w:r>
    </w:p>
    <w:p>
      <w:r>
        <w:br w:type="page"/>
      </w:r>
    </w:p>
    <w:p>
      <w:pPr>
        <w:pStyle w:val="Heading1"/>
      </w:pPr>
      <w:r>
        <w:t>Executive Summary</w:t>
      </w:r>
    </w:p>
    <w:p>
      <w:r>
        <w:rPr>
          <w:i/>
          <w:color w:val="999999"/>
        </w:rPr>
        <w:t>[To be completed]</w:t>
      </w:r>
    </w:p>
    <w:p>
      <w:r>
        <w:br w:type="page"/>
      </w:r>
    </w:p>
    <w:p>
      <w:pPr>
        <w:pStyle w:val="Heading1"/>
      </w:pPr>
      <w:r>
        <w:t>Methodology</w:t>
      </w:r>
    </w:p>
    <w:p>
      <w:r>
        <w:t>Our model evaluates whether a representative Google DeepMind data center in Dublin could reduce its electricity costs by installing a battery energy storage system (BESS) and participating in Ireland’s demand response programs. Using synthetic hourly electricity prices calibrated to real I-SEM market data, the model determines the optimal battery size and hour-by-hour charging schedule that minimizes the facility’s total annual electricity costs. The model and some inputs are taken and updated from a paper by Lukas Ljungblom, "Optimal Planning of Data Centers with On-Site Generation and Storage".</w:t>
      </w:r>
    </w:p>
    <w:p>
      <w:r>
        <w:rPr>
          <w:b/>
        </w:rPr>
        <w:t>Three scenarios are compared: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Description</w:t>
            </w:r>
          </w:p>
        </w:tc>
      </w:tr>
      <w:tr>
        <w:tc>
          <w:tcPr>
            <w:tcW w:type="dxa" w:w="4320"/>
          </w:tcPr>
          <w:p>
            <w:r>
              <w:t>Grid-Only</w:t>
            </w:r>
          </w:p>
        </w:tc>
        <w:tc>
          <w:tcPr>
            <w:tcW w:type="dxa" w:w="4320"/>
          </w:tcPr>
          <w:p>
            <w:r>
              <w:t>Baseline — data center draws a constant 10 MW from the grid with no battery</w:t>
            </w:r>
          </w:p>
        </w:tc>
      </w:tr>
      <w:tr>
        <w:tc>
          <w:tcPr>
            <w:tcW w:type="dxa" w:w="4320"/>
          </w:tcPr>
          <w:p>
            <w:r>
              <w:t>Grid + BESS</w:t>
            </w:r>
          </w:p>
        </w:tc>
        <w:tc>
          <w:tcPr>
            <w:tcW w:type="dxa" w:w="4320"/>
          </w:tcPr>
          <w:p>
            <w:r>
              <w:t>Battery performs energy arbitrage: charges when electricity is cheap, discharges when it is expensive</w:t>
            </w:r>
          </w:p>
        </w:tc>
      </w:tr>
      <w:tr>
        <w:tc>
          <w:tcPr>
            <w:tcW w:type="dxa" w:w="4320"/>
          </w:tcPr>
          <w:p>
            <w:r>
              <w:t>Grid + BESS + DR</w:t>
            </w:r>
          </w:p>
        </w:tc>
        <w:tc>
          <w:tcPr>
            <w:tcW w:type="dxa" w:w="4320"/>
          </w:tcPr>
          <w:p>
            <w:r>
              <w:t>Battery also earns revenue from EirGrid’s capacity market as a demand side unit (DSU)</w:t>
            </w:r>
          </w:p>
        </w:tc>
      </w:tr>
    </w:tbl>
    <w:p>
      <w:pPr>
        <w:pStyle w:val="Heading2"/>
      </w:pPr>
      <w:r>
        <w:t>Assumptions</w:t>
      </w:r>
    </w:p>
    <w:p>
      <w:pPr>
        <w:pStyle w:val="ListBullet"/>
      </w:pPr>
      <w:r>
        <w:t>The data center draws a constant 10 MW load and has a 20 MW grid connection, leaving headroom for battery charging.</w:t>
      </w:r>
    </w:p>
    <w:p>
      <w:pPr>
        <w:pStyle w:val="ListBullet"/>
      </w:pPr>
      <w:r>
        <w:t>Google DeepMind workloads are not mission-critical, so the data center can curtail its load if the battery is unavailable.</w:t>
      </w:r>
    </w:p>
    <w:p>
      <w:pPr>
        <w:pStyle w:val="ListBullet"/>
      </w:pPr>
      <w:r>
        <w:t>The BESS has a 15-year lifetime, 95% round-trip efficiency, and costs are discounted at an 8% weighted average cost of capital (WACC).</w:t>
      </w:r>
    </w:p>
    <w:p>
      <w:pPr>
        <w:pStyle w:val="ListBullet"/>
      </w:pPr>
      <w:r>
        <w:t>The BESS capacity is always awarded in EirGrid’s capacity auction, making it eligible for annual demand side unit (DSU) payments up to 10 MW.</w:t>
      </w:r>
    </w:p>
    <w:p>
      <w:pPr>
        <w:pStyle w:val="Heading2"/>
      </w:pPr>
      <w:r>
        <w:t>Modeling</w:t>
      </w:r>
    </w:p>
    <w:p>
      <w:r>
        <w:rPr>
          <w:b/>
        </w:rPr>
        <w:t>The systems we modeled are easily divided into two categories: costs and revenues.</w:t>
      </w:r>
    </w:p>
    <w:p>
      <w:pPr>
        <w:pStyle w:val="Heading3"/>
      </w:pPr>
      <w:r>
        <w:t>Costs</w:t>
      </w:r>
    </w:p>
    <w:p>
      <w:r>
        <w:t>The model accounts for four cost components that together form the facility’s annualized lifecycle cost (ALCC):</w:t>
      </w:r>
    </w:p>
    <w:p>
      <w:pPr>
        <w:pStyle w:val="ListNumber"/>
      </w:pPr>
      <w:r>
        <w:t>Grid subscription fee — a fixed annual charge of approximately €4.4M for maintaining the 10 MW grid connection, paid regardless of how much electricity is consumed.</w:t>
      </w:r>
    </w:p>
    <w:p>
      <w:pPr>
        <w:pStyle w:val="ListNumber"/>
      </w:pPr>
      <w:r>
        <w:t>Energy import costs — variable costs for each MWh drawn from the grid, equal to the I-SEM spot price plus a time-of-use (TOU) network tariff. TOU rates are highest during weekday peak hours (17:00–19:00) and lowest overnight and on weekends.</w:t>
      </w:r>
    </w:p>
    <w:p>
      <w:pPr>
        <w:pStyle w:val="ListNumber"/>
      </w:pPr>
      <w:r>
        <w:t>BESS capital expenditure (CapEx) — the upfront cost of the battery system, spread over its 15-year lifetime using a standard annuity factor at 8% WACC. CapEx scales with both the battery’s power rating (MW) and its energy capacity (MWh).</w:t>
      </w:r>
    </w:p>
    <w:p>
      <w:pPr>
        <w:pStyle w:val="ListNumber"/>
      </w:pPr>
      <w:r>
        <w:t>BESS operating expenditure (OpEx) — annual maintenance and operating costs, also scaling with battery power and energy capacity. These costs are adjusted upward from thesis values to reflect inflation and rising labor costs in Ireland.</w:t>
      </w:r>
    </w:p>
    <w:p>
      <w:r>
        <w:t>For BESS cost assumptions, the model runs two cost scenarios: the original thesis estimates (NREL ATB 2025, Moderate) and the NREL ATB 2024 Advanced scenario, which reflects aggressive but plausible cost reductions in battery technology. All ATB costs are reported in 2022 USD and converted to EUR at a rate of 0.95 EUR/USD. The updated scenario is used for scenario comparison and policy recommendations.</w:t>
      </w:r>
    </w:p>
    <w:p>
      <w:pPr>
        <w:pStyle w:val="Heading3"/>
      </w:pPr>
      <w:r>
        <w:t>Revenues and Savings</w:t>
      </w:r>
    </w:p>
    <w:p>
      <w:r>
        <w:t>The model captures value through two mechanisms: energy arbitrage (cost reduction) and DSU capacity payments (revenue).</w:t>
      </w:r>
    </w:p>
    <w:p>
      <w:r>
        <w:t>Energy arbitrage is embedded in the BESS optimization itself. The battery charges when electricity prices are low — including during negative price events caused by wind curtailment — and discharges during expensive peak hours, reducing the facility’s net import costs. This benefit appears in all BESS scenarios automatically.</w:t>
      </w:r>
    </w:p>
    <w:p>
      <w:r>
        <w:t>Capacity payments are additional revenue available only in the DR scenario. EirGrid’s capacity auction market compensates large flexible loads that can reduce their grid draw during system stress events. These participants are called demand side units (DSUs). While DSUs can take several forms (curtailed loads, batteries, virtual power plants), our model registers only the battery — not the data center load itself — as the DSU. Revenue assumptions are based on the capacity-weighted average clearing price from EirGrid’s 2025–2026 T-1 auction results.</w:t>
      </w:r>
    </w:p>
    <w:p>
      <w:r>
        <w:t>Additional detail on the mathematical formulation of the objective function and full model results can be found in the appendix and accompanying deliverables.</w:t>
      </w:r>
    </w:p>
    <w:p>
      <w:pPr>
        <w:pStyle w:val="Heading3"/>
      </w:pPr>
      <w:r>
        <w:t>Emissions Reduction</w:t>
      </w:r>
    </w:p>
    <w:p>
      <w:r>
        <w:t>Because the electricity grid delivers undifferentiated electrons, simply installing a battery does not change the carbon intensity of the power a data center consumes. However, during DR events the BESS allows the facility to withdraw from the grid entirely, removing demand that EirGrid would otherwise meet by dispatching a marginal peaking unit. In Ireland, the marginal generators called during system stress events are typically oil- or heavy-fuel-oil-fired (HFO) open-cycle plants — most notably Moneypoint, which operates as a generator of last resort.</w:t>
      </w:r>
    </w:p>
    <w:p>
      <w:r>
        <w:t>We quantify avoided emissions using a marginal displacement approach. For each DR event hour, the data center's full 10 MW load is served by the BESS rather than drawn from the grid. The emissions that would have been produced had that energy come from an HFO peaker (800 gCO₂/kWh) are compared against the emissions at Ireland's average grid carbon intensity (225 gCO₂/kWh, SEAI). The difference represents the system-level emissions avoided by displacing peaker generation.</w:t>
      </w:r>
    </w:p>
    <w:p>
      <w:r>
        <w:t>The peaker emission factor of 800 gCO₂/kWh is the midpoint of the 740–890 gCO₂/kWh range reported for oil-fired generation in the UNECE Life Cycle Assessment of Electricity Generation Options (2021). The grid-average figure is SEAI's published conversion factor for Irish electricity consumption.</w:t>
      </w:r>
    </w:p>
    <w:p>
      <w:r>
        <w:br w:type="page"/>
      </w:r>
    </w:p>
    <w:p>
      <w:pPr>
        <w:pStyle w:val="Heading1"/>
      </w:pPr>
      <w:r>
        <w:t>Results</w:t>
      </w:r>
    </w:p>
    <w:p>
      <w:r>
        <w:rPr>
          <w:i/>
          <w:color w:val="999999"/>
        </w:rPr>
        <w:t>[To be completed — data tables, figures, and scenario comparisons will be provided by the modeler. See BESS_DR_Model_Results.xlsx and the figures/ directory for supporting material.]</w:t>
      </w:r>
    </w:p>
    <w:p>
      <w:r>
        <w:br w:type="page"/>
      </w:r>
    </w:p>
    <w:p>
      <w:pPr>
        <w:pStyle w:val="Heading1"/>
      </w:pPr>
      <w:r>
        <w:t>Regulatory and Policy Considerations</w:t>
      </w:r>
    </w:p>
    <w:p>
      <w:r>
        <w:rPr>
          <w:i/>
          <w:color w:val="999999"/>
        </w:rPr>
        <w:t>[To be completed — discuss regulatory implications for Ireland’s 2030 Climate Action Plan, propose a policy or market mechanism (e.g., "Flexible Load Tariff" or "AI-as-Grid-Resource Pilot") that aligns corporate and national energy objectives.]</w:t>
      </w:r>
    </w:p>
    <w:p>
      <w:r>
        <w:br w:type="page"/>
      </w:r>
    </w:p>
    <w:p>
      <w:pPr>
        <w:pStyle w:val="Heading1"/>
      </w:pPr>
      <w:r>
        <w:t>Bibliography</w:t>
      </w:r>
    </w:p>
    <w:p>
      <w:pPr>
        <w:ind w:left="720" w:hanging="720"/>
      </w:pPr>
      <w:r>
        <w:t>Cole, W., &amp; Karmakar, A. (2023). Cost projections for utility-scale battery storage: 2023 update (NREL/TP-6A40-85332). National Renewable Energy Laboratory. https://www.nrel.gov/docs/fy23osti/85332.pdf</w:t>
      </w:r>
    </w:p>
    <w:p>
      <w:pPr>
        <w:ind w:left="720" w:hanging="720"/>
      </w:pPr>
      <w:r>
        <w:t>EirGrid. (n.d.). Demand side management. https://www.eirgrid.ie/industry/becoming-customer/demand-side-management</w:t>
      </w:r>
    </w:p>
    <w:p>
      <w:pPr>
        <w:ind w:left="720" w:hanging="720"/>
      </w:pPr>
      <w:r>
        <w:t>EirGrid. (2024, September). EirGrid statement of charges 2024/2025 (v1.0). https://www.eirgrid.com</w:t>
      </w:r>
    </w:p>
    <w:p>
      <w:pPr>
        <w:ind w:left="720" w:hanging="720"/>
      </w:pPr>
      <w:r>
        <w:t>Ljungblom, L. (2025). Optimal planning of data centers with on-site generation and storage [Master’s thesis, Chalmers University of Technology].</w:t>
      </w:r>
    </w:p>
    <w:p>
      <w:pPr>
        <w:ind w:left="720" w:hanging="720"/>
      </w:pPr>
      <w:r>
        <w:t>National Renewable Energy Laboratory. (2025). Utility-scale battery storage. Annual Technology Baseline. https://atb.nrel.gov/electricity/2024/commercial_battery_storage</w:t>
      </w:r>
    </w:p>
    <w:p>
      <w:pPr>
        <w:ind w:left="720" w:hanging="720"/>
      </w:pPr>
      <w:r>
        <w:t>SEAI. (n.d.). Conversion factors. SEAI Statistics. https://www.seai.ie/data-and-insights/seai-statistics/conversion-factors</w:t>
      </w:r>
    </w:p>
    <w:p>
      <w:pPr>
        <w:ind w:left="720" w:hanging="720"/>
      </w:pPr>
      <w:r>
        <w:t>SEMO. (2025, July). Final capacity auction results: 2025/26 T-1 (FCAR2526T-1). https://www.sem-o.com/sites/semo/files/2025-07/FCAR2526T-1.pdf</w:t>
      </w:r>
    </w:p>
    <w:p>
      <w:pPr>
        <w:ind w:left="720" w:hanging="720"/>
      </w:pPr>
      <w:r>
        <w:t>United Nations Economic Commission for Europe. (2021). Life cycle assessment of electricity generation options. UNECE. https://unece.org/sites/default/files/2021-11/LCA_final.pdf</w:t>
      </w:r>
    </w:p>
    <w:p>
      <w:r>
        <w:br w:type="page"/>
      </w:r>
    </w:p>
    <w:p>
      <w:pPr>
        <w:pStyle w:val="Heading1"/>
      </w:pPr>
      <w:r>
        <w:t>Appendix</w:t>
      </w:r>
    </w:p>
    <w:p>
      <w:r>
        <w:rPr>
          <w:i/>
          <w:color w:val="999999"/>
        </w:rPr>
        <w:t>[To be completed — include objective function formulation, full model parameters, and supplementary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