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CUI Handling Directive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CCOE-DIR-CUI-009 · v2.2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Governance Branch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2026-09-01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Incident Response Policy v3.1 (spill procedures)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CUI Directive v2.1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Prescribes marking, storage, transmission, and destruction of Controlled Unclassified Information across the portfolio, including the banner and designation-indicator standards this hub itself follows. This demonstration hub processes no CUI; the directive is published here as the controlling standard for systems that do.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Marking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Banner marking at top and bottom of every page/screen: CUI, with category and limited-dissemination markings where applicable (e.g., CUI//SP-PRVCY//FEDCON).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Designation indicator block on the first page: controlled by, category, distribution/dissemination, and POC.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Portion marking where the document mixes CUI and non-CUI content.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Emails containing CUI: banner as the first line of the body and CUI in the subject line prefix.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Storage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At rest on systems authorized at the appropriate impact level (IL4 minimum in cloud); encryption at rest required.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Physical: locked container or controlled room when unattended; no CUI on unattended desks or printers.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CUI on personal devices, personal accounts, or unauthorized collaboration tools.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Transmission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Electronic transmission encrypted in transit (TLS 1.2+ or approved equivalent); recipients verified as authorized before sending.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No CUI to uncleared or unauthorized domains — a mis-send is a reportable spill from the moment of send, not discovery.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Destruction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Paper: cross-cut shredding meeting the destruction standard.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Media: sanitization per approved methods with a certificate of sanitization retained (see Divestment Checklist for system-level disposition).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Spills</w:t>
      </w:r>
    </w:p>
    <w:p>
      <w:pPr>
        <w:spacing w:after="100"/>
      </w:pPr>
      <w:r>
        <w:rPr>
          <w:sz w:val="21"/>
          <w:szCs w:val="21"/>
        </w:rPr>
        <w:t xml:space="preserve">Suspected or confirmed spills follow the Incident Response Policy spill procedures immediately: start the spill clock, preserve evidence, notify in the prescribed order, and document every action. Self-reporting is a protected, expected behavior — the reportable failure is silence, not the mistake.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v2.2 — 2026-03-01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Email subject-line prefix requirement added; personal-device prohibition made explicit.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2026-07-02T12:38:41.624Z</dcterms:created>
  <dcterms:modified xsi:type="dcterms:W3CDTF">2026-07-02T12:38:41.624Z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