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DEFE6" w:val="clear"/>
        <w:spacing w:after="160"/>
        <w:jc w:val="center"/>
      </w:pPr>
      <w:r>
        <w:rPr>
          <w:rFonts w:ascii="Consolas" w:cs="Consolas" w:eastAsia="Consolas" w:hAnsi="Consolas"/>
          <w:b/>
          <w:bCs/>
          <w:color w:val="4B5320"/>
          <w:sz w:val="16"/>
          <w:szCs w:val="16"/>
        </w:rPr>
        <w:t xml:space="preserve">UNCLASSIFIED // DEMONSTRATION DOCUMENT — NO CUI OR CLASSIFIED DATA</w:t>
      </w:r>
    </w:p>
    <w:p>
      <w:pPr>
        <w:pStyle w:val="Heading1"/>
        <w:spacing w:after="60"/>
      </w:pPr>
      <w:r>
        <w:rPr>
          <w:b/>
          <w:bCs/>
          <w:color w:val="4B5320"/>
          <w:sz w:val="32"/>
          <w:szCs w:val="32"/>
        </w:rPr>
        <w:t xml:space="preserve">Continuous Monitoring Parameters</w:t>
      </w:r>
    </w:p>
    <w:p>
      <w:pPr>
        <w:spacing w:after="140"/>
      </w:pPr>
      <w:r>
        <w:rPr>
          <w:rFonts w:ascii="Consolas" w:cs="Consolas" w:eastAsia="Consolas" w:hAnsi="Consolas"/>
          <w:color w:val="5A6157"/>
          <w:sz w:val="18"/>
          <w:szCs w:val="18"/>
        </w:rPr>
        <w:t xml:space="preserve">CCOE-SOP-CM-003 · v2.7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820"/>
      </w:tblGrid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OWNER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Ops Branch — CCoE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CURRENT VERSION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v2.7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2026-03-15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MANDATED REVIEW DATE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2026-09-15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APPLICABILITY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All systems in the Army cyber portfolio under CCoE cognizance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APPROVAL AUTHORITY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CISO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RELATED TEMPLATES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POA&amp;M Entry &amp; Closure Evidence Forms v3.3</w:t>
            </w:r>
          </w:p>
        </w:tc>
      </w:tr>
      <w:tr>
        <w:tc>
          <w:tcPr>
            <w:tcW w:type="dxa" w:w="2900"/>
            <w:shd w:fill="F4F5EF" w:val="clear"/>
          </w:tcPr>
          <w:p>
            <w:r>
              <w:rPr>
                <w:rFonts w:ascii="Consolas" w:cs="Consolas" w:eastAsia="Consolas" w:hAnsi="Consolas"/>
                <w:b/>
                <w:bCs/>
                <w:color w:val="4B5320"/>
                <w:sz w:val="18"/>
                <w:szCs w:val="18"/>
              </w:rPr>
              <w:t xml:space="preserve">SUPERSEDED DOCUMENTS</w:t>
            </w:r>
          </w:p>
        </w:tc>
        <w:tc>
          <w:tcPr>
            <w:tcW w:type="dxa" w:w="6820"/>
          </w:tcPr>
          <w:p>
            <w:r>
              <w:rPr>
                <w:sz w:val="20"/>
                <w:szCs w:val="20"/>
              </w:rPr>
              <w:t xml:space="preserve">ConMon Parameters v2.6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 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1. Purpose</w:t>
      </w:r>
    </w:p>
    <w:p>
      <w:pPr>
        <w:spacing w:after="100"/>
      </w:pPr>
      <w:r>
        <w:rPr>
          <w:sz w:val="21"/>
          <w:szCs w:val="21"/>
        </w:rPr>
        <w:t xml:space="preserve">Defines what is monitored, by whom, at what frequency, and where the results flow. These parameters are the minimum; system-specific ConMon strategies may add rigor but never subtract.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2. Monitoring Cadence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Weekly — </w:t>
      </w:r>
      <w:r>
        <w:rPr>
          <w:sz w:val="21"/>
          <w:szCs w:val="21"/>
        </w:rPr>
        <w:t xml:space="preserve">credentialed vulnerability scans (ACAS) on all scannable assets; SIEM alert review daily with weekly rollup.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Monthly — </w:t>
      </w:r>
      <w:r>
        <w:rPr>
          <w:sz w:val="21"/>
          <w:szCs w:val="21"/>
        </w:rPr>
        <w:t xml:space="preserve">full discovery scan; account and privileged-access sampling (10% of systems on rotation); POA&amp;M currency check against eMASS.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Quarterly — </w:t>
      </w:r>
      <w:r>
        <w:rPr>
          <w:sz w:val="21"/>
          <w:szCs w:val="21"/>
        </w:rPr>
        <w:t xml:space="preserve">STIG version compliance check against the current-quarter release; control sampling per the annual plan (each family sampled at least twice per year); false-positive exception revalidation.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b/>
          <w:bCs/>
          <w:sz w:val="21"/>
          <w:szCs w:val="21"/>
        </w:rPr>
        <w:t xml:space="preserve">Annually — </w:t>
      </w:r>
      <w:r>
        <w:rPr>
          <w:sz w:val="21"/>
          <w:szCs w:val="21"/>
        </w:rPr>
        <w:t xml:space="preserve">full control review completing 100% coverage; contingency plan test; incident response exercise; full POA&amp;M scrub before CSRR.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3. Control Sampling Plan</w:t>
      </w:r>
    </w:p>
    <w:p>
      <w:pPr>
        <w:spacing w:after="100"/>
      </w:pPr>
      <w:r>
        <w:rPr>
          <w:sz w:val="21"/>
          <w:szCs w:val="21"/>
        </w:rPr>
        <w:t xml:space="preserve">The Ops Branch publishes the sampling schedule each October. Sampling selects controls by volatility: high-volatility families (AC, AU, CM, SI) sample quarterly; low-volatility families (PE, MP, PL) sample annually. Sampled controls require current evidence per the implementation statement, not regenerated narratives.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4. Evidence Standards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Every artifact carries timestamp, hostname/scope, and collector identity. Undated or unscoped screenshots are rejected.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Automated evidence pipelines (Agile ATO systems) must log generation provenance; manual substitution requires ISSM approval.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Evidence retention: one year minimum, or through the next authorization decision, whichever is longer.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5. Reporting Lines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Weekly scan results → Vulnerability Management Cell triage (5 business days to POA&amp;M for validated findings).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Monthly rollup → ISSM dashboard; exceptions and at-risk items highlighted by name.</w:t>
      </w:r>
    </w:p>
    <w:p>
      <w:pPr>
        <w:pStyle w:val="ListParagraph"/>
        <w:numPr>
          <w:ilvl w:val="0"/>
          <w:numId w:val="2"/>
        </w:numPr>
        <w:spacing w:after="55"/>
      </w:pPr>
      <w:r>
        <w:rPr>
          <w:sz w:val="21"/>
          <w:szCs w:val="21"/>
        </w:rPr>
        <w:t xml:space="preserve">Quarterly summary → CISO portfolio review and leadership dashboards in Tools &amp; Dashboards.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6. Degraded Monitoring</w:t>
      </w:r>
    </w:p>
    <w:p>
      <w:pPr>
        <w:spacing w:after="100"/>
      </w:pPr>
      <w:r>
        <w:rPr>
          <w:sz w:val="21"/>
          <w:szCs w:val="21"/>
        </w:rPr>
        <w:t xml:space="preserve">If any cadence cannot be met (outage, tooling gap, standalone constraints), the ISSO files a monitoring deviation note within 5 business days stating cause, compensating activity, and restoration date. Standalone and closed-network systems follow their respective SOPs in place of network scanning.</w:t>
      </w:r>
    </w:p>
    <w:p>
      <w:pPr>
        <w:pStyle w:val="Heading2"/>
        <w:spacing w:after="90" w:before="220"/>
      </w:pPr>
      <w:r>
        <w:rPr>
          <w:b/>
          <w:bCs/>
          <w:color w:val="1E211C"/>
          <w:sz w:val="24"/>
          <w:szCs w:val="24"/>
        </w:rPr>
        <w:t xml:space="preserve">Revision Log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20"/>
      </w:tblGrid>
      <w:tr>
        <w:tc>
          <w:tcPr>
            <w:tcW w:type="dxa" w:w="2200"/>
            <w:shd w:fill="F4F5EF" w:val="clear"/>
          </w:tcPr>
          <w:p>
            <w:r>
              <w:rPr>
                <w:b/>
                <w:bCs/>
                <w:sz w:val="19"/>
                <w:szCs w:val="19"/>
              </w:rPr>
              <w:t xml:space="preserve">v2.7 — 2026-03-15</w:t>
            </w:r>
          </w:p>
        </w:tc>
        <w:tc>
          <w:tcPr>
            <w:tcW w:type="dxa" w:w="7520"/>
          </w:tcPr>
          <w:p>
            <w:r>
              <w:rPr>
                <w:sz w:val="20"/>
                <w:szCs w:val="20"/>
              </w:rPr>
              <w:t xml:space="preserve">Added evidence provenance requirement for automated pipelines; clarified degraded-monitoring deviation notes.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2026-07-02T12:38:41.433Z</dcterms:created>
  <dcterms:modified xsi:type="dcterms:W3CDTF">2026-07-02T12:38:41.433Z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