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Emerging AI / Model Governance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CCOE-POL-AI-012 · v1.0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AI Cell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2026-05-15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2026-08-15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AI &amp; Automation portal intake; CUI Handling Directive v2.2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Sets operational parameters for AI tooling in the portfolio: approved use cases, data boundaries, output review requirements, and model documentation standards. This is a first-issue policy with a compressed 90-day review cycle.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Approved Use Cases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Drafting assistance for RMF artifacts (implementation statements, POA&amp;M narratives) with mandatory human review before submission.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Finding correlation and triage support (e.g., Nessus/ACAS output correlation against threat context) where outputs are reviewable and traceable.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Knowledge retrieval over approved, internal, non-CUI corpora.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New use cases enter through the AI &amp; Automation intake and require AI Cell approval before pilot.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Data Boundaries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 CUI, PII, or operational vulnerability data into tools not authorized at the appropriate impact level for that data.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Prompts and outputs on approved tools are retained and auditable; use of personal accounts for official AI work is prohibited.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Model training or fine-tuning on portfolio data requires a documented data-use approval naming the dataset, purpose, and retention.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Output Review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AI-drafted content is a draft, never a deliverable: a named human reviewer verifies factual claims, control citations, and system-specific accuracy before any use in a package.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AI-generated code follows the same secure code review path as human-written code, with the AI origin noted in the review record.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Decisions with risk consequence (severity ratings, closure verifications, authorization recommendations) are made by humans; AI may inform, not decide.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Model Documentation</w:t>
      </w:r>
    </w:p>
    <w:p>
      <w:pPr>
        <w:spacing w:after="100"/>
      </w:pPr>
      <w:r>
        <w:rPr>
          <w:sz w:val="21"/>
          <w:szCs w:val="21"/>
        </w:rPr>
        <w:t xml:space="preserve">Each approved tool carries a model card in the AI Cell register: provider, model/version, hosting and data-flow description, approved use cases, prohibited uses, and the authorization or assessment reference under which it operates. Version changes by the provider trigger a register review.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Incident Handling</w:t>
      </w:r>
    </w:p>
    <w:p>
      <w:pPr>
        <w:spacing w:after="100"/>
      </w:pPr>
      <w:r>
        <w:rPr>
          <w:sz w:val="21"/>
          <w:szCs w:val="21"/>
        </w:rPr>
        <w:t xml:space="preserve">Suspected data exposure through an AI tool is handled as a spill or incident per the Incident Response Policy, with the AI Cell added to the notification chain.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v1.0 — 2026-05-15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Initial issue. 90-day review cycle in effect until v1.1.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2026-07-02T12:38:41.742Z</dcterms:created>
  <dcterms:modified xsi:type="dcterms:W3CDTF">2026-07-02T12:38:41.742Z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