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DEFE6" w:val="clear"/>
        <w:spacing w:after="160"/>
        <w:jc w:val="center"/>
      </w:pPr>
      <w:r>
        <w:rPr>
          <w:rFonts w:ascii="Consolas" w:cs="Consolas" w:eastAsia="Consolas" w:hAnsi="Consolas"/>
          <w:b/>
          <w:bCs/>
          <w:color w:val="4B5320"/>
          <w:sz w:val="16"/>
          <w:szCs w:val="16"/>
        </w:rPr>
        <w:t xml:space="preserve">UNCLASSIFIED // DEMONSTRATION DOCUMENT — NO CUI OR CLASSIFIED DATA</w:t>
      </w:r>
    </w:p>
    <w:p>
      <w:pPr>
        <w:pStyle w:val="Heading1"/>
        <w:spacing w:after="60"/>
      </w:pPr>
      <w:r>
        <w:rPr>
          <w:b/>
          <w:bCs/>
          <w:color w:val="4B5320"/>
          <w:sz w:val="32"/>
          <w:szCs w:val="32"/>
        </w:rPr>
        <w:t xml:space="preserve">Incident Response Policy</w:t>
      </w:r>
    </w:p>
    <w:p>
      <w:pPr>
        <w:spacing w:after="140"/>
      </w:pPr>
      <w:r>
        <w:rPr>
          <w:rFonts w:ascii="Consolas" w:cs="Consolas" w:eastAsia="Consolas" w:hAnsi="Consolas"/>
          <w:color w:val="5A6157"/>
          <w:sz w:val="18"/>
          <w:szCs w:val="18"/>
        </w:rPr>
        <w:t xml:space="preserve">CCOE-POL-IR-010 · v3.1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820"/>
      </w:tblGrid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OWNER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Incident Response Cell — CCoE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CURRENT VERSION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v3.1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2026-04-25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MANDATED REVIEW DATE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2026-10-25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APPLICABILITY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All systems in the Army cyber portfolio under CCoE cognizance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APPROVAL AUTHORITY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CISO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RELATED TEMPLATES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Tabletop Exercise Playbooks v1.9; CUI Handling Directive v2.2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SUPERSEDED DOCUMENTS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IR Policy v3.0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1. Purpose</w:t>
      </w:r>
    </w:p>
    <w:p>
      <w:pPr>
        <w:spacing w:after="100"/>
      </w:pPr>
      <w:r>
        <w:rPr>
          <w:sz w:val="21"/>
          <w:szCs w:val="21"/>
        </w:rPr>
        <w:t xml:space="preserve">Establishes incident categories, binding escalation timelines, evidence preservation requirements, and after-action discipline. The Incident Response node operationalizes this policy; the timelines here are the authoritative version.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2. Reporting Principle</w:t>
      </w:r>
    </w:p>
    <w:p>
      <w:pPr>
        <w:spacing w:after="100"/>
      </w:pPr>
      <w:r>
        <w:rPr>
          <w:sz w:val="21"/>
          <w:szCs w:val="21"/>
        </w:rPr>
        <w:t xml:space="preserve">Incomplete and fast beats complete and late. Initial reports use the who/what/when/where/observed-behavior structure and are sent with whatever is known. No one is penalized for a good-faith report that turns out benign.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3. Categories and Initial Notification Timelines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CAT 1 — Root-level intrusion or confirmed data exfiltration: watch desk immediately; ISSM and CISO within 1 hour.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CAT 2 — User-level intrusion or active malware not yet contained: watch desk within 1 hour; ISSM within 2 hours.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CAT 3 — Attempted access / reconnaissance blocked at the boundary: log and report in the daily rollup.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CUI spill — spill clock starts at discovery; notifications per the spill procedure below, first notification within 1 hour.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Asset loss (device lost/stolen) — supervisor and watch desk within 1 hour of discovery; encryption posture verified from enterprise records within 4 hours.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Suspected phishing click — user reports within 1 hour of the click; credential reset and session revocation immediately upon report.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4. Escalation and Authority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Containment authority (including disconnect decisions) is pre-delegated to the IR lead for CAT 1/2; mission-impact consultation with the System Owner happens in parallel, not as a precondition.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Counterintelligence-sensitive indicators (e.g., insider data staging) bring in the CI liaison before any action that could alert a subject.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5. Evidence Preservation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Preserve before you clean: volatile data captured where feasible, disk images before reimaging on CAT 1/2, and chain-of-custody records for anything that may support adjudication.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Every action is timestamped in the incident log while the clock runs — reconstruction from memory after the fact is an audit finding.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6. Spill Procedure (summary)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Start the spill clock and identify the CUI category involved.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Notify in order: watch desk → ISSM → information owner → receiving-party POCs.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Contain: recall, disable sync, isolate affected mailboxes/devices.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Sanitize per the CUI directive; preservation takes precedence where adjudication may be required — legal resolves conflicts.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Document every action with times; file the after-action within 5 business days.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7. After-Action Discipline</w:t>
      </w:r>
    </w:p>
    <w:p>
      <w:pPr>
        <w:spacing w:after="100"/>
      </w:pPr>
      <w:r>
        <w:rPr>
          <w:sz w:val="21"/>
          <w:szCs w:val="21"/>
        </w:rPr>
        <w:t xml:space="preserve">Every CAT 1/2 incident and every spill produces an after-action report within 5 business days: timeline, decisions, gaps, and POA&amp;M or SOP updates generated. Quarterly tabletop exercises use the published playbooks; participation is recorded.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Revision Log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20"/>
      </w:tblGrid>
      <w:tr>
        <w:tc>
          <w:tcPr>
            <w:tcW w:type="dxa" w:w="2200"/>
            <w:shd w:fill="F4F5EF" w:val="clear"/>
          </w:tcPr>
          <w:p>
            <w:r>
              <w:rPr>
                <w:b/>
                <w:bCs/>
                <w:sz w:val="19"/>
                <w:szCs w:val="19"/>
              </w:rPr>
              <w:t xml:space="preserve">v3.1 — 2026-04-25</w:t>
            </w:r>
          </w:p>
        </w:tc>
        <w:tc>
          <w:tcPr>
            <w:tcW w:type="dxa" w:w="7520"/>
          </w:tcPr>
          <w:p>
            <w:r>
              <w:rPr>
                <w:sz w:val="20"/>
                <w:szCs w:val="20"/>
              </w:rPr>
              <w:t xml:space="preserve">Pre-delegated containment authority formalized; phishing-click timeline added.</w:t>
            </w:r>
          </w:p>
        </w:tc>
      </w:tr>
    </w:tbl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2026-07-02T12:38:41.672Z</dcterms:created>
  <dcterms:modified xsi:type="dcterms:W3CDTF">2026-07-02T12:38:41.672Z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