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POA&amp;M Lifecycle Policy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CCOE-POL-PM-005 · v2.4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Vulnerability Management Cell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v2.4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2026-10-12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AODR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POA&amp;M Entry &amp; Closure Evidence Forms v3.3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POA&amp;M Policy v2.3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Defines the mandatory lifecycle for every Plan of Action and Milestones entry: standardized entry, aging and severity tracking, closure evidence, quality review, and escalation. The POA&amp;M portal engine enforces this policy; eMASS remains the system of record.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Entry Standards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Required structured fields: weakness description, source of finding, severity, resources required, milestones with dates, responsible party. Free-text-only entries are rejected at intake.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Milestones are dated and measurable. "Ongoing" is not a milestone and will be rejected — decompose into completion-verifiable steps.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Every authorization condition becomes a POA&amp;M entry within 3 business days of the decision.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Aging and Tracking</w:t>
      </w:r>
    </w:p>
    <w:p>
      <w:pPr>
        <w:spacing w:after="100"/>
      </w:pPr>
      <w:r>
        <w:rPr>
          <w:sz w:val="21"/>
          <w:szCs w:val="21"/>
        </w:rPr>
        <w:t xml:space="preserve">Every item ages against its severity window from the Vulnerability Management Windows policy. Dashboards mirror eMASS and surface At-Risk items to the ISSM before they go overdue. Discrepancies between the dashboard and eMASS resolve in favor of eMASS and trigger a reconciliation note.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Closure Evidence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Closure requires verification evidence: post-remediation scan or configuration proof, the identity of the independent verifier, and the verification date. "Fixed" is not evidence.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Verification is independent — the remediator does not verify their own work.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Quality Review and Reject Path</w:t>
      </w:r>
    </w:p>
    <w:p>
      <w:pPr>
        <w:spacing w:after="100"/>
      </w:pPr>
      <w:r>
        <w:rPr>
          <w:sz w:val="21"/>
          <w:szCs w:val="21"/>
        </w:rPr>
        <w:t xml:space="preserve">The Vulnerability Management Cell reviews every closure package. Rejections return with the specific deficiency named; resubmission follows the same path. Three consecutive rejections of the same item escalate to the ISSM for root-cause review.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Battle Rhythm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Weekly — credentialed scan review feeds new entries.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First Tuesday — Monthly POA&amp;M Review walks every aging item with its owner. Attendance is not optional.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Quarterly — FP exception revalidation.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Annually — full POA&amp;M scrub before CSRR data lock.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v2.4 — 2026-04-12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Independent-verifier requirement made explicit; triple-rejection escalation added.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2026-07-02T12:38:41.539Z</dcterms:created>
  <dcterms:modified xsi:type="dcterms:W3CDTF">2026-07-02T12:38:41.539Z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