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DOCUMENT — NO CUI OR CLASSIFIED DATA</w:t>
      </w:r>
    </w:p>
    <w:p>
      <w:pPr>
        <w:pStyle w:val="Heading1"/>
        <w:spacing w:after="60"/>
      </w:pPr>
      <w:r>
        <w:rPr>
          <w:b/>
          <w:bCs/>
          <w:color w:val="4B5320"/>
          <w:sz w:val="32"/>
          <w:szCs w:val="32"/>
        </w:rPr>
        <w:t xml:space="preserve">Standalone System Boundaries SOP</w:t>
      </w:r>
    </w:p>
    <w:p>
      <w:pPr>
        <w:spacing w:after="140"/>
      </w:pPr>
      <w:r>
        <w:rPr>
          <w:rFonts w:ascii="Consolas" w:cs="Consolas" w:eastAsia="Consolas" w:hAnsi="Consolas"/>
          <w:color w:val="5A6157"/>
          <w:sz w:val="18"/>
          <w:szCs w:val="18"/>
        </w:rPr>
        <w:t xml:space="preserve">CCOE-SOP-SA-006 · v1.8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20"/>
      </w:tblGrid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RMF Branch — CCoE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v1.8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2026-02-20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MANDATED REVIEW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2026-08-20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Standalone and disconnected systems with zero-to-limited scan pathways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AODR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Hardware/Software Inventory v3.0; Closed Network Audit Standard v1.5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Standalone SOP v1.7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1"/>
          <w:szCs w:val="21"/>
        </w:rPr>
        <w:t xml:space="preserve">Prescribes the assessment and monitoring adaptations for systems that cannot support network-based scanning: manual review cadence, media control, physical and administrative control emphasis, and the rules for substituting evidence.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2. Boundary Definition</w:t>
      </w:r>
    </w:p>
    <w:p>
      <w:pPr>
        <w:spacing w:after="100"/>
      </w:pPr>
      <w:r>
        <w:rPr>
          <w:sz w:val="21"/>
          <w:szCs w:val="21"/>
        </w:rPr>
        <w:t xml:space="preserve">A standalone boundary encloses the host(s), locally attached peripherals, and the authorized removable-media set. The media set is part of the boundary: every authorized device is inventoried by serial number in the HW/SW inventory and marked per the CUI Handling Directive.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3. Monitoring Adaptations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Manual STIG review — quarterly, using the current-quarter benchmark, results recorded as .ckl checklists.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Offline definition updates — anti-malware and scanner definitions transferred monthly at minimum via authorized media through the media control process.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Local log review — weekly, initialed by the operator, sampled monthly by the ISSO.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Configuration baseline check — quarterly hash or configuration comparison against the approved baseline image.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4. Media Control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Only inventoried, marked media enter or leave the boundary.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Every transfer is logged: date, media ID, direction, files/purpose, carrier, and approver.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Inbound media are scanned on a designated transfer workstation before use.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sz w:val="21"/>
          <w:szCs w:val="21"/>
        </w:rPr>
        <w:t xml:space="preserve">Media leaving the boundary for reuse elsewhere are sanitized with certificate.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5. Evidence Substitution Rules</w:t>
      </w:r>
    </w:p>
    <w:p>
      <w:pPr>
        <w:spacing w:after="100"/>
      </w:pPr>
      <w:r>
        <w:rPr>
          <w:sz w:val="21"/>
          <w:szCs w:val="21"/>
        </w:rPr>
        <w:t xml:space="preserve">Where network-generated evidence is impossible, substitute as follows and note the substitution in the SSP: scan results → quarterly manual STIG checklists plus monthly offline definition-update logs; SIEM review → local log review records; automated inventory → signed quarterly physical inventory. Substitutions beyond this list require ISSM approval in writing.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6. Physical and Administrative Emphasis</w:t>
      </w:r>
    </w:p>
    <w:p>
      <w:pPr>
        <w:spacing w:after="100"/>
      </w:pPr>
      <w:r>
        <w:rPr>
          <w:sz w:val="21"/>
          <w:szCs w:val="21"/>
        </w:rPr>
        <w:t xml:space="preserve">Standalone assessments weight PE, MP, and AC families accordingly: room access lists reviewed quarterly, two-person integrity for media transfers involving CUI, and visitor supervision recorded.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Revision Log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shd w:fill="F4F5EF" w:val="clear"/>
          </w:tcPr>
          <w:p>
            <w:r>
              <w:rPr>
                <w:b/>
                <w:bCs/>
                <w:sz w:val="19"/>
                <w:szCs w:val="19"/>
              </w:rPr>
              <w:t xml:space="preserve">v1.8 — 2026-02-20</w:t>
            </w:r>
          </w:p>
        </w:tc>
        <w:tc>
          <w:tcPr>
            <w:tcW w:type="dxa" w:w="7520"/>
          </w:tcPr>
          <w:p>
            <w:r>
              <w:rPr>
                <w:sz w:val="20"/>
                <w:szCs w:val="20"/>
              </w:rPr>
              <w:t xml:space="preserve">Transfer-workstation scan requirement added; evidence substitution table formalized.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2026-07-02T12:38:41.561Z</dcterms:created>
  <dcterms:modified xsi:type="dcterms:W3CDTF">2026-07-02T12:38:41.561Z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