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EDEFE6" w:val="clear"/>
        <w:spacing w:after="160"/>
        <w:jc w:val="center"/>
      </w:pPr>
      <w:r>
        <w:rPr>
          <w:rFonts w:ascii="Consolas" w:cs="Consolas" w:eastAsia="Consolas" w:hAnsi="Consolas"/>
          <w:b/>
          <w:bCs/>
          <w:color w:val="4B5320"/>
          <w:sz w:val="16"/>
          <w:szCs w:val="16"/>
        </w:rPr>
        <w:t xml:space="preserve">UNCLASSIFIED // DEMONSTRATION TEMPLATE — NO CUI OR CLASSIFIED DATA</w:t>
      </w:r>
    </w:p>
    <w:p>
      <w:pPr>
        <w:pStyle w:val="Heading1"/>
        <w:spacing w:after="120"/>
      </w:pPr>
      <w:r>
        <w:rPr>
          <w:b/>
          <w:bCs/>
          <w:color w:val="4B5320"/>
          <w:sz w:val="32"/>
          <w:szCs w:val="32"/>
        </w:rPr>
        <w:t xml:space="preserve">Tabletop Exercise Playbook — CUI Spill, Cross-Domain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20"/>
      </w:tblGrid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OWNER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Cybersecurity Office — CCoE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VERSION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v1.9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EFFECTIVE DATE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2026-03-28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2026-09-28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APPLICABILITY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All systems in the Army cyber portfolio under CCoE cognizance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APPROVAL AUTHORITY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CISO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RELATED TEMPLATES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Incident Response SOP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SUPERSEDED DOCUMENTS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TTX v1.8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720"/>
      </w:tblGrid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Duration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 w:val="false"/>
                <w:iCs w:val="false"/>
                <w:color w:val="2B4C8C"/>
                <w:sz w:val="21"/>
                <w:szCs w:val="21"/>
              </w:rPr>
              <w:t xml:space="preserve">90 minutes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Audience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 w:val="false"/>
                <w:iCs w:val="false"/>
                <w:color w:val="2B4C8C"/>
                <w:sz w:val="21"/>
                <w:szCs w:val="21"/>
              </w:rPr>
              <w:t xml:space="preserve">ISSOs, spill response cell, records manager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Environment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 w:val="false"/>
                <w:iCs w:val="false"/>
                <w:color w:val="2B4C8C"/>
                <w:sz w:val="21"/>
                <w:szCs w:val="21"/>
              </w:rPr>
              <w:t xml:space="preserve">Fictional TRNG-SIM-2 training environment — nothing touches a real boundary.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1E211C"/>
          <w:sz w:val="24"/>
          <w:szCs w:val="24"/>
        </w:rPr>
        <w:t xml:space="preserve">Scenario</w:t>
      </w:r>
    </w:p>
    <w:p>
      <w:pPr>
        <w:spacing w:after="100"/>
      </w:pPr>
      <w:r>
        <w:rPr>
          <w:sz w:val="21"/>
          <w:szCs w:val="21"/>
        </w:rPr>
        <w:t xml:space="preserve">A staffer emails a CUI-marked assessment worksheet to a distribution list that includes an uncleared contractor domain. The message replicates to two mailboxes and one mobile device before recall.</w:t>
      </w:r>
    </w:p>
    <w:p>
      <w:pPr>
        <w:pStyle w:val="Heading2"/>
        <w:spacing w:after="100" w:before="220"/>
      </w:pPr>
      <w:r>
        <w:rPr>
          <w:b/>
          <w:bCs/>
          <w:color w:val="1E211C"/>
          <w:sz w:val="24"/>
          <w:szCs w:val="24"/>
        </w:rPr>
        <w:t xml:space="preserve">Exercise Objectives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Enforce spill clock discipline and correct notification order.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Practice sanitization decisions across domains and device types.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Document every action for the record while the clock runs.</w:t>
      </w:r>
    </w:p>
    <w:p>
      <w:pPr>
        <w:pStyle w:val="Heading2"/>
        <w:spacing w:after="100" w:before="220"/>
      </w:pPr>
      <w:r>
        <w:rPr>
          <w:b/>
          <w:bCs/>
          <w:color w:val="1E211C"/>
          <w:sz w:val="24"/>
          <w:szCs w:val="24"/>
        </w:rPr>
        <w:t xml:space="preserve">Timed Injects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T+0:05 — </w:t>
      </w:r>
      <w:r>
        <w:rPr>
          <w:sz w:val="21"/>
          <w:szCs w:val="21"/>
        </w:rPr>
        <w:t xml:space="preserve">Sender self-reports. Start the spill clock: which category and which timeline applies?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T+0:20 — </w:t>
      </w:r>
      <w:r>
        <w:rPr>
          <w:sz w:val="21"/>
          <w:szCs w:val="21"/>
        </w:rPr>
        <w:t xml:space="preserve">Contractor confirms receipt on a personal device synced via IMAP.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T+0:50 — </w:t>
      </w:r>
      <w:r>
        <w:rPr>
          <w:sz w:val="21"/>
          <w:szCs w:val="21"/>
        </w:rPr>
        <w:t xml:space="preserve">Legal asks whether sanitization or preservation takes precedence for the mobile device.</w:t>
      </w:r>
    </w:p>
    <w:p>
      <w:pPr>
        <w:pStyle w:val="Heading2"/>
        <w:spacing w:after="100" w:before="220"/>
      </w:pPr>
      <w:r>
        <w:rPr>
          <w:b/>
          <w:bCs/>
          <w:color w:val="1E211C"/>
          <w:sz w:val="24"/>
          <w:szCs w:val="24"/>
        </w:rPr>
        <w:t xml:space="preserve">Hot Wash Questions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Where did the timeline slip, and which notification was hardest to make on time?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What evidence would we wish we had preserved if this were real?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Which decision required authority we had not pre-delegated?</w:t>
      </w:r>
    </w:p>
    <w:p>
      <w:pPr>
        <w:pStyle w:val="Heading2"/>
        <w:spacing w:after="100" w:before="220"/>
      </w:pPr>
      <w:r>
        <w:rPr>
          <w:b/>
          <w:bCs/>
          <w:color w:val="1E211C"/>
          <w:sz w:val="24"/>
          <w:szCs w:val="24"/>
        </w:rPr>
        <w:t xml:space="preserve">After-Action Capture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720"/>
      </w:tblGrid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Strengths observed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Gaps / friction points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POA&amp;M or SOP updates generated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Facilitator / Date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</w:tbl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2026-07-02T11:48:23.965Z</dcterms:created>
  <dcterms:modified xsi:type="dcterms:W3CDTF">2026-07-02T11:48:23.965Z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