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Control Implementation Statement Frames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2026-05-02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2026-11-02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SSP Standard Language Blocks v4.2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 Frames v2.4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Every implementation statement answers five questions in present tense: WHAT mechanism, HOW configured, WHO administers, HOW OFTEN reviewed, and WHERE the evidence lives. Future tense ("will be configured") is unassessable and will be rejected.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Frame (all control families)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"[SYSTEM] implements [CONTROL] using [MECHANISM], configured to [SPECIFIC SETTINGS]. [ROLE] administers the mechanism and reviews it [FREQUENCY]. Evidence: [ARTIFACT + LOCATION]."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Worked Example — AC-2 (Account Management)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Worked Example — AU-6 (Audit Review, Analysis, and Reporting)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Family-Specific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 / IA: </w:t>
      </w:r>
      <w:r>
        <w:rPr>
          <w:sz w:val="21"/>
          <w:szCs w:val="21"/>
        </w:rPr>
        <w:t xml:space="preserve">name the identity store and the approval workflow, not just "least privilege."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AU: </w:t>
      </w:r>
      <w:r>
        <w:rPr>
          <w:sz w:val="21"/>
          <w:szCs w:val="21"/>
        </w:rPr>
        <w:t xml:space="preserve">state retention period and review cadence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CM: </w:t>
      </w:r>
      <w:r>
        <w:rPr>
          <w:sz w:val="21"/>
          <w:szCs w:val="21"/>
        </w:rPr>
        <w:t xml:space="preserve">reference the baseline version and the change-control body (CGB).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 / SI: </w:t>
      </w:r>
      <w:r>
        <w:rPr>
          <w:sz w:val="21"/>
          <w:szCs w:val="21"/>
        </w:rPr>
        <w:t xml:space="preserve">cite the protocol/version (e.g., TLS 1.3) and the scanning cadence.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2026-07-02T11:48:23.591Z</dcterms:created>
  <dcterms:modified xsi:type="dcterms:W3CDTF">2026-07-02T11:48:23.591Z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