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EDEFE6" w:val="clear"/>
        <w:spacing w:after="160"/>
        <w:jc w:val="center"/>
      </w:pPr>
      <w:r>
        <w:rPr>
          <w:rFonts w:ascii="Consolas" w:cs="Consolas" w:eastAsia="Consolas" w:hAnsi="Consolas"/>
          <w:b/>
          <w:bCs/>
          <w:color w:val="4B5320"/>
          <w:sz w:val="16"/>
          <w:szCs w:val="16"/>
        </w:rPr>
        <w:t xml:space="preserve">UNCLASSIFIED // DEMONSTRATION TEMPLATE — NO CUI OR CLASSIFIED DATA</w:t>
      </w:r>
    </w:p>
    <w:p>
      <w:pPr>
        <w:pStyle w:val="Heading1"/>
        <w:spacing w:after="120"/>
      </w:pPr>
      <w:r>
        <w:rPr>
          <w:b/>
          <w:bCs/>
          <w:color w:val="4B5320"/>
          <w:sz w:val="32"/>
          <w:szCs w:val="32"/>
        </w:rPr>
        <w:t xml:space="preserve">Control Implementation Statement Frames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c>
          <w:tcPr>
            <w:tcW w:type="dxa" w:w="2600"/>
            <w:shd w:fill="F4F5EF" w:val="clear"/>
          </w:tcPr>
          <w:p>
            <w:pPr>
              <w:spacing w:after="100"/>
            </w:pPr>
            <w:r>
              <w:rPr>
                <w:rFonts w:ascii="Consolas" w:cs="Consolas" w:eastAsia="Consolas" w:hAnsi="Consolas"/>
                <w:b/>
                <w:bCs/>
                <w:color w:val="4B5320"/>
                <w:sz w:val="18"/>
                <w:szCs w:val="18"/>
              </w:rPr>
              <w:t xml:space="preserve">OWNER</w:t>
            </w:r>
          </w:p>
        </w:tc>
        <w:tc>
          <w:tcPr>
            <w:tcW w:type="dxa" w:w="7120"/>
          </w:tcPr>
          <w:p>
            <w:pPr>
              <w:spacing w:after="100"/>
            </w:pPr>
            <w:r>
              <w:rPr>
                <w:sz w:val="20"/>
                <w:szCs w:val="20"/>
              </w:rPr>
              <w:t xml:space="preserve">Cybersecurity Office — CCoE</w:t>
            </w:r>
          </w:p>
        </w:tc>
      </w:tr>
      <w:tr>
        <w:tc>
          <w:tcPr>
            <w:tcW w:type="dxa" w:w="2600"/>
            <w:shd w:fill="F4F5EF" w:val="clear"/>
          </w:tcPr>
          <w:p>
            <w:pPr>
              <w:spacing w:after="100"/>
            </w:pPr>
            <w:r>
              <w:rPr>
                <w:rFonts w:ascii="Consolas" w:cs="Consolas" w:eastAsia="Consolas" w:hAnsi="Consolas"/>
                <w:b/>
                <w:bCs/>
                <w:color w:val="4B5320"/>
                <w:sz w:val="18"/>
                <w:szCs w:val="18"/>
              </w:rPr>
              <w:t xml:space="preserve">VERSION</w:t>
            </w:r>
          </w:p>
        </w:tc>
        <w:tc>
          <w:tcPr>
            <w:tcW w:type="dxa" w:w="7120"/>
          </w:tcPr>
          <w:p>
            <w:pPr>
              <w:spacing w:after="100"/>
            </w:pPr>
            <w:r>
              <w:rPr>
                <w:sz w:val="20"/>
                <w:szCs w:val="20"/>
              </w:rPr>
              <w:t xml:space="preserve">v3.0</w:t>
            </w:r>
          </w:p>
        </w:tc>
      </w:tr>
      <w:tr>
        <w:tc>
          <w:tcPr>
            <w:tcW w:type="dxa" w:w="2600"/>
            <w:shd w:fill="F4F5EF" w:val="clear"/>
          </w:tcPr>
          <w:p>
            <w:pPr>
              <w:spacing w:after="100"/>
            </w:pPr>
            <w:r>
              <w:rPr>
                <w:rFonts w:ascii="Consolas" w:cs="Consolas" w:eastAsia="Consolas" w:hAnsi="Consolas"/>
                <w:b/>
                <w:bCs/>
                <w:color w:val="4B5320"/>
                <w:sz w:val="18"/>
                <w:szCs w:val="18"/>
              </w:rPr>
              <w:t xml:space="preserve">EFFECTIVE DATE</w:t>
            </w:r>
          </w:p>
        </w:tc>
        <w:tc>
          <w:tcPr>
            <w:tcW w:type="dxa" w:w="7120"/>
          </w:tcPr>
          <w:p>
            <w:pPr>
              <w:spacing w:after="100"/>
            </w:pPr>
            <w:r>
              <w:rPr>
                <w:sz w:val="20"/>
                <w:szCs w:val="20"/>
              </w:rPr>
              <w:t xml:space="preserve">2026-05-02</w:t>
            </w:r>
          </w:p>
        </w:tc>
      </w:tr>
      <w:tr>
        <w:tc>
          <w:tcPr>
            <w:tcW w:type="dxa" w:w="2600"/>
            <w:shd w:fill="F4F5EF" w:val="clear"/>
          </w:tcPr>
          <w:p>
            <w:pPr>
              <w:spacing w:after="100"/>
            </w:pPr>
            <w:r>
              <w:rPr>
                <w:rFonts w:ascii="Consolas" w:cs="Consolas" w:eastAsia="Consolas" w:hAnsi="Consolas"/>
                <w:b/>
                <w:bCs/>
                <w:color w:val="4B5320"/>
                <w:sz w:val="18"/>
                <w:szCs w:val="18"/>
              </w:rPr>
              <w:t xml:space="preserve">REVIEW DATE</w:t>
            </w:r>
          </w:p>
        </w:tc>
        <w:tc>
          <w:tcPr>
            <w:tcW w:type="dxa" w:w="7120"/>
          </w:tcPr>
          <w:p>
            <w:pPr>
              <w:spacing w:after="100"/>
            </w:pPr>
            <w:r>
              <w:rPr>
                <w:sz w:val="20"/>
                <w:szCs w:val="20"/>
              </w:rPr>
              <w:t xml:space="preserve">2026-11-02</w:t>
            </w:r>
          </w:p>
        </w:tc>
      </w:tr>
      <w:tr>
        <w:tc>
          <w:tcPr>
            <w:tcW w:type="dxa" w:w="2600"/>
            <w:shd w:fill="F4F5EF" w:val="clear"/>
          </w:tcPr>
          <w:p>
            <w:pPr>
              <w:spacing w:after="100"/>
            </w:pPr>
            <w:r>
              <w:rPr>
                <w:rFonts w:ascii="Consolas" w:cs="Consolas" w:eastAsia="Consolas" w:hAnsi="Consolas"/>
                <w:b/>
                <w:bCs/>
                <w:color w:val="4B5320"/>
                <w:sz w:val="18"/>
                <w:szCs w:val="18"/>
              </w:rPr>
              <w:t xml:space="preserve">APPLICABILITY</w:t>
            </w:r>
          </w:p>
        </w:tc>
        <w:tc>
          <w:tcPr>
            <w:tcW w:type="dxa" w:w="7120"/>
          </w:tcPr>
          <w:p>
            <w:pPr>
              <w:spacing w:after="100"/>
            </w:pPr>
            <w:r>
              <w:rPr>
                <w:sz w:val="20"/>
                <w:szCs w:val="20"/>
              </w:rPr>
              <w:t xml:space="preserve">All systems in the Army cyber portfolio under CCoE cognizance</w:t>
            </w:r>
          </w:p>
        </w:tc>
      </w:tr>
      <w:tr>
        <w:tc>
          <w:tcPr>
            <w:tcW w:type="dxa" w:w="2600"/>
            <w:shd w:fill="F4F5EF" w:val="clear"/>
          </w:tcPr>
          <w:p>
            <w:pPr>
              <w:spacing w:after="100"/>
            </w:pPr>
            <w:r>
              <w:rPr>
                <w:rFonts w:ascii="Consolas" w:cs="Consolas" w:eastAsia="Consolas" w:hAnsi="Consolas"/>
                <w:b/>
                <w:bCs/>
                <w:color w:val="4B5320"/>
                <w:sz w:val="18"/>
                <w:szCs w:val="18"/>
              </w:rPr>
              <w:t xml:space="preserve">APPROVAL AUTHORITY</w:t>
            </w:r>
          </w:p>
        </w:tc>
        <w:tc>
          <w:tcPr>
            <w:tcW w:type="dxa" w:w="7120"/>
          </w:tcPr>
          <w:p>
            <w:pPr>
              <w:spacing w:after="100"/>
            </w:pPr>
            <w:r>
              <w:rPr>
                <w:sz w:val="20"/>
                <w:szCs w:val="20"/>
              </w:rPr>
              <w:t xml:space="preserve">CISO</w:t>
            </w:r>
          </w:p>
        </w:tc>
      </w:tr>
      <w:tr>
        <w:tc>
          <w:tcPr>
            <w:tcW w:type="dxa" w:w="2600"/>
            <w:shd w:fill="F4F5EF" w:val="clear"/>
          </w:tcPr>
          <w:p>
            <w:pPr>
              <w:spacing w:after="100"/>
            </w:pPr>
            <w:r>
              <w:rPr>
                <w:rFonts w:ascii="Consolas" w:cs="Consolas" w:eastAsia="Consolas" w:hAnsi="Consolas"/>
                <w:b/>
                <w:bCs/>
                <w:color w:val="4B5320"/>
                <w:sz w:val="18"/>
                <w:szCs w:val="18"/>
              </w:rPr>
              <w:t xml:space="preserve">RELATED TEMPLATES</w:t>
            </w:r>
          </w:p>
        </w:tc>
        <w:tc>
          <w:tcPr>
            <w:tcW w:type="dxa" w:w="7120"/>
          </w:tcPr>
          <w:p>
            <w:pPr>
              <w:spacing w:after="100"/>
            </w:pPr>
            <w:r>
              <w:rPr>
                <w:sz w:val="20"/>
                <w:szCs w:val="20"/>
              </w:rPr>
              <w:t xml:space="preserve">SSP Standard Language Blocks v4.2</w:t>
            </w:r>
          </w:p>
        </w:tc>
      </w:tr>
      <w:tr>
        <w:tc>
          <w:tcPr>
            <w:tcW w:type="dxa" w:w="2600"/>
            <w:shd w:fill="F4F5EF" w:val="clear"/>
          </w:tcPr>
          <w:p>
            <w:pPr>
              <w:spacing w:after="100"/>
            </w:pPr>
            <w:r>
              <w:rPr>
                <w:rFonts w:ascii="Consolas" w:cs="Consolas" w:eastAsia="Consolas" w:hAnsi="Consolas"/>
                <w:b/>
                <w:bCs/>
                <w:color w:val="4B5320"/>
                <w:sz w:val="18"/>
                <w:szCs w:val="18"/>
              </w:rPr>
              <w:t xml:space="preserve">SUPERSEDED DOCUMENTS</w:t>
            </w:r>
          </w:p>
        </w:tc>
        <w:tc>
          <w:tcPr>
            <w:tcW w:type="dxa" w:w="7120"/>
          </w:tcPr>
          <w:p>
            <w:pPr>
              <w:spacing w:after="100"/>
            </w:pPr>
            <w:r>
              <w:rPr>
                <w:sz w:val="20"/>
                <w:szCs w:val="20"/>
              </w:rPr>
              <w:t xml:space="preserve">CIS Frames v2.4</w:t>
            </w:r>
          </w:p>
        </w:tc>
      </w:tr>
    </w:tbl>
    <w:p>
      <w:pPr>
        <w:spacing w:after="100"/>
      </w:pPr>
      <w:r>
        <w:rPr>
          <w:sz w:val="21"/>
          <w:szCs w:val="21"/>
        </w:rPr>
        <w:t xml:space="preserve"> </w:t>
      </w:r>
    </w:p>
    <w:p>
      <w:pPr>
        <w:spacing w:after="100"/>
      </w:pPr>
      <w:r>
        <w:rPr>
          <w:i/>
          <w:iCs/>
          <w:color w:val="5A6157"/>
          <w:sz w:val="19"/>
          <w:szCs w:val="19"/>
        </w:rPr>
        <w:t xml:space="preserve">Every implementation statement answers five questions in present tense: WHAT mechanism, HOW configured, WHO administers, HOW OFTEN reviewed, and WHERE the evidence lives. Future tense ("will be configured") is unassessable and will be rejected.</w:t>
      </w:r>
    </w:p>
    <w:p>
      <w:pPr>
        <w:pStyle w:val="Heading2"/>
        <w:spacing w:after="100" w:before="220"/>
      </w:pPr>
      <w:r>
        <w:rPr>
          <w:b/>
          <w:bCs/>
          <w:color w:val="1E211C"/>
          <w:sz w:val="24"/>
          <w:szCs w:val="24"/>
        </w:rPr>
        <w:t xml:space="preserve">Frame (all control families)</w:t>
      </w:r>
    </w:p>
    <w:p>
      <w:pPr>
        <w:spacing w:after="100"/>
      </w:pPr>
      <w:r>
        <w:rPr>
          <w:i/>
          <w:iCs/>
          <w:sz w:val="21"/>
          <w:szCs w:val="21"/>
        </w:rPr>
        <w:t xml:space="preserve">"[SYSTEM] implements [CONTROL] using [MECHANISM], configured to [SPECIFIC SETTINGS]. [ROLE] administers the mechanism and reviews it [FREQUENCY]. Evidence: [ARTIFACT + LOCATION]."</w:t>
      </w:r>
    </w:p>
    <w:p>
      <w:pPr>
        <w:pStyle w:val="Heading2"/>
        <w:spacing w:after="100" w:before="220"/>
      </w:pPr>
      <w:r>
        <w:rPr>
          <w:b/>
          <w:bCs/>
          <w:color w:val="1E211C"/>
          <w:sz w:val="24"/>
          <w:szCs w:val="24"/>
        </w:rPr>
        <w:t xml:space="preserve">Worked Example — AC-2 (Account Management)</w:t>
      </w:r>
    </w:p>
    <w:p>
      <w:pPr>
        <w:spacing w:after="100"/>
      </w:pPr>
      <w:r>
        <w:rPr>
          <w:color w:val="2B4C8C"/>
          <w:sz w:val="21"/>
          <w:szCs w:val="21"/>
        </w:rPr>
        <w:t xml:space="preserve">LOGNET-04 implements AC-2 using Active Directory group-managed accounts, configured to disable accounts after 35 days of inactivity and to require ISSO approval for privileged group membership. The ISSO administers account provisioning and reviews the full account list monthly. Evidence: signed monthly account review checklist, stored in the ConMon evidence library under AC-2.</w:t>
      </w:r>
    </w:p>
    <w:p>
      <w:pPr>
        <w:pStyle w:val="Heading2"/>
        <w:spacing w:after="100" w:before="220"/>
      </w:pPr>
      <w:r>
        <w:rPr>
          <w:b/>
          <w:bCs/>
          <w:color w:val="1E211C"/>
          <w:sz w:val="24"/>
          <w:szCs w:val="24"/>
        </w:rPr>
        <w:t xml:space="preserve">Worked Example — AU-6 (Audit Review, Analysis, and Reporting)</w:t>
      </w:r>
    </w:p>
    <w:p>
      <w:pPr>
        <w:spacing w:after="100"/>
      </w:pPr>
      <w:r>
        <w:rPr>
          <w:color w:val="2B4C8C"/>
          <w:sz w:val="21"/>
          <w:szCs w:val="21"/>
        </w:rPr>
        <w:t xml:space="preserve">LOGNET-04 implements AU-6 by forwarding all security-relevant logs to the enterprise SIEM, configured with the CCoE baseline alert ruleset. The ISSO reviews correlated alerts daily and documents findings in the audit review log. Evidence: SIEM dashboard export and initialed daily review log, retained one year.</w:t>
      </w:r>
    </w:p>
    <w:p>
      <w:pPr>
        <w:pStyle w:val="Heading2"/>
        <w:spacing w:after="100" w:before="220"/>
      </w:pPr>
      <w:r>
        <w:rPr>
          <w:b/>
          <w:bCs/>
          <w:color w:val="1E211C"/>
          <w:sz w:val="24"/>
          <w:szCs w:val="24"/>
        </w:rPr>
        <w:t xml:space="preserve">Family-Specific Reminders</w:t>
      </w:r>
    </w:p>
    <w:p>
      <w:pPr>
        <w:pStyle w:val="ListParagraph"/>
        <w:numPr>
          <w:ilvl w:val="0"/>
          <w:numId w:val="2"/>
        </w:numPr>
        <w:spacing w:after="60"/>
      </w:pPr>
      <w:r>
        <w:rPr>
          <w:b/>
          <w:bCs/>
          <w:sz w:val="21"/>
          <w:szCs w:val="21"/>
        </w:rPr>
        <w:t xml:space="preserve">AC / IA: </w:t>
      </w:r>
      <w:r>
        <w:rPr>
          <w:sz w:val="21"/>
          <w:szCs w:val="21"/>
        </w:rPr>
        <w:t xml:space="preserve">name the identity store and the approval workflow, not just "least privilege."</w:t>
      </w:r>
    </w:p>
    <w:p>
      <w:pPr>
        <w:pStyle w:val="ListParagraph"/>
        <w:numPr>
          <w:ilvl w:val="0"/>
          <w:numId w:val="2"/>
        </w:numPr>
        <w:spacing w:after="60"/>
      </w:pPr>
      <w:r>
        <w:rPr>
          <w:b/>
          <w:bCs/>
          <w:sz w:val="21"/>
          <w:szCs w:val="21"/>
        </w:rPr>
        <w:t xml:space="preserve">AU: </w:t>
      </w:r>
      <w:r>
        <w:rPr>
          <w:sz w:val="21"/>
          <w:szCs w:val="21"/>
        </w:rPr>
        <w:t xml:space="preserve">state retention period and review cadence explicitly.</w:t>
      </w:r>
    </w:p>
    <w:p>
      <w:pPr>
        <w:pStyle w:val="ListParagraph"/>
        <w:numPr>
          <w:ilvl w:val="0"/>
          <w:numId w:val="2"/>
        </w:numPr>
        <w:spacing w:after="60"/>
      </w:pPr>
      <w:r>
        <w:rPr>
          <w:b/>
          <w:bCs/>
          <w:sz w:val="21"/>
          <w:szCs w:val="21"/>
        </w:rPr>
        <w:t xml:space="preserve">CM: </w:t>
      </w:r>
      <w:r>
        <w:rPr>
          <w:sz w:val="21"/>
          <w:szCs w:val="21"/>
        </w:rPr>
        <w:t xml:space="preserve">reference the baseline version and the change-control body (CGB).</w:t>
      </w:r>
    </w:p>
    <w:p>
      <w:pPr>
        <w:pStyle w:val="ListParagraph"/>
        <w:numPr>
          <w:ilvl w:val="0"/>
          <w:numId w:val="2"/>
        </w:numPr>
        <w:spacing w:after="60"/>
      </w:pPr>
      <w:r>
        <w:rPr>
          <w:b/>
          <w:bCs/>
          <w:sz w:val="21"/>
          <w:szCs w:val="21"/>
        </w:rPr>
        <w:t xml:space="preserve">SC / SI: </w:t>
      </w:r>
      <w:r>
        <w:rPr>
          <w:sz w:val="21"/>
          <w:szCs w:val="21"/>
        </w:rPr>
        <w:t xml:space="preserve">cite the protocol/version (e.g., TLS 1.3) and the scanning cadence.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2026-07-02T11:48:23.642Z</dcterms:created>
  <dcterms:modified xsi:type="dcterms:W3CDTF">2026-07-02T11:48:23.642Z</dcterms:modified>
</cp:coreProperties>
</file>

<file path=docProps/custom.xml><?xml version="1.0" encoding="utf-8"?>
<Properties xmlns="http://schemas.openxmlformats.org/officeDocument/2006/custom-properties" xmlns:vt="http://schemas.openxmlformats.org/officeDocument/2006/docPropsVTypes"/>
</file>