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E6" w:val="clear"/>
        <w:spacing w:after="160"/>
        <w:jc w:val="center"/>
      </w:pPr>
      <w:r>
        <w:rPr>
          <w:rFonts w:ascii="Consolas" w:cs="Consolas" w:eastAsia="Consolas" w:hAnsi="Consolas"/>
          <w:b/>
          <w:bCs/>
          <w:color w:val="4B5320"/>
          <w:sz w:val="16"/>
          <w:szCs w:val="16"/>
        </w:rPr>
        <w:t xml:space="preserve">UNCLASSIFIED // DEMONSTRATION TEMPLATE — NO CUI OR CLASSIFIED DATA</w:t>
      </w:r>
    </w:p>
    <w:p>
      <w:pPr>
        <w:pStyle w:val="Heading1"/>
        <w:spacing w:after="120"/>
      </w:pPr>
      <w:r>
        <w:rPr>
          <w:b/>
          <w:bCs/>
          <w:color w:val="4B5320"/>
          <w:sz w:val="32"/>
          <w:szCs w:val="32"/>
        </w:rPr>
        <w:t xml:space="preserve">System Security Plan — Standard Language Blocks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shd w:fill="F4F5EF" w:val="clear"/>
          </w:tcPr>
          <w:p>
            <w:pPr>
              <w:spacing w:after="100"/>
            </w:pPr>
            <w:r>
              <w:rPr>
                <w:rFonts w:ascii="Consolas" w:cs="Consolas" w:eastAsia="Consolas" w:hAnsi="Consolas"/>
                <w:b/>
                <w:bCs/>
                <w:color w:val="4B5320"/>
                <w:sz w:val="18"/>
                <w:szCs w:val="18"/>
              </w:rPr>
              <w:t xml:space="preserve">OWNER</w:t>
            </w:r>
          </w:p>
        </w:tc>
        <w:tc>
          <w:tcPr>
            <w:tcW w:type="dxa" w:w="7120"/>
          </w:tcPr>
          <w:p>
            <w:pPr>
              <w:spacing w:after="100"/>
            </w:pPr>
            <w:r>
              <w:rPr>
                <w:sz w:val="20"/>
                <w:szCs w:val="20"/>
              </w:rPr>
              <w:t xml:space="preserve">Cybersecurity Office — CCoE</w:t>
            </w:r>
          </w:p>
        </w:tc>
      </w:tr>
      <w:tr>
        <w:tc>
          <w:tcPr>
            <w:tcW w:type="dxa" w:w="2600"/>
            <w:shd w:fill="F4F5EF" w:val="clear"/>
          </w:tcPr>
          <w:p>
            <w:pPr>
              <w:spacing w:after="100"/>
            </w:pPr>
            <w:r>
              <w:rPr>
                <w:rFonts w:ascii="Consolas" w:cs="Consolas" w:eastAsia="Consolas" w:hAnsi="Consolas"/>
                <w:b/>
                <w:bCs/>
                <w:color w:val="4B5320"/>
                <w:sz w:val="18"/>
                <w:szCs w:val="18"/>
              </w:rPr>
              <w:t xml:space="preserve">VERSION</w:t>
            </w:r>
          </w:p>
        </w:tc>
        <w:tc>
          <w:tcPr>
            <w:tcW w:type="dxa" w:w="7120"/>
          </w:tcPr>
          <w:p>
            <w:pPr>
              <w:spacing w:after="100"/>
            </w:pPr>
            <w:r>
              <w:rPr>
                <w:sz w:val="20"/>
                <w:szCs w:val="20"/>
              </w:rPr>
              <w:t xml:space="preserve">v4.2</w:t>
            </w:r>
          </w:p>
        </w:tc>
      </w:tr>
      <w:tr>
        <w:tc>
          <w:tcPr>
            <w:tcW w:type="dxa" w:w="2600"/>
            <w:shd w:fill="F4F5EF" w:val="clear"/>
          </w:tcPr>
          <w:p>
            <w:pPr>
              <w:spacing w:after="100"/>
            </w:pPr>
            <w:r>
              <w:rPr>
                <w:rFonts w:ascii="Consolas" w:cs="Consolas" w:eastAsia="Consolas" w:hAnsi="Consolas"/>
                <w:b/>
                <w:bCs/>
                <w:color w:val="4B5320"/>
                <w:sz w:val="18"/>
                <w:szCs w:val="18"/>
              </w:rPr>
              <w:t xml:space="preserve">EFFECTIVE DATE</w:t>
            </w:r>
          </w:p>
        </w:tc>
        <w:tc>
          <w:tcPr>
            <w:tcW w:type="dxa" w:w="7120"/>
          </w:tcPr>
          <w:p>
            <w:pPr>
              <w:spacing w:after="100"/>
            </w:pPr>
            <w:r>
              <w:rPr>
                <w:sz w:val="20"/>
                <w:szCs w:val="20"/>
              </w:rPr>
              <w:t xml:space="preserve">2026-05-18</w:t>
            </w:r>
          </w:p>
        </w:tc>
      </w:tr>
      <w:tr>
        <w:tc>
          <w:tcPr>
            <w:tcW w:type="dxa" w:w="2600"/>
            <w:shd w:fill="F4F5EF" w:val="clear"/>
          </w:tcPr>
          <w:p>
            <w:pPr>
              <w:spacing w:after="100"/>
            </w:pPr>
            <w:r>
              <w:rPr>
                <w:rFonts w:ascii="Consolas" w:cs="Consolas" w:eastAsia="Consolas" w:hAnsi="Consolas"/>
                <w:b/>
                <w:bCs/>
                <w:color w:val="4B5320"/>
                <w:sz w:val="18"/>
                <w:szCs w:val="18"/>
              </w:rPr>
              <w:t xml:space="preserve">REVIEW DATE</w:t>
            </w:r>
          </w:p>
        </w:tc>
        <w:tc>
          <w:tcPr>
            <w:tcW w:type="dxa" w:w="7120"/>
          </w:tcPr>
          <w:p>
            <w:pPr>
              <w:spacing w:after="100"/>
            </w:pPr>
            <w:r>
              <w:rPr>
                <w:sz w:val="20"/>
                <w:szCs w:val="20"/>
              </w:rPr>
              <w:t xml:space="preserve">2026-11-18</w:t>
            </w:r>
          </w:p>
        </w:tc>
      </w:tr>
      <w:tr>
        <w:tc>
          <w:tcPr>
            <w:tcW w:type="dxa" w:w="2600"/>
            <w:shd w:fill="F4F5EF" w:val="clear"/>
          </w:tcPr>
          <w:p>
            <w:pPr>
              <w:spacing w:after="100"/>
            </w:pPr>
            <w:r>
              <w:rPr>
                <w:rFonts w:ascii="Consolas" w:cs="Consolas" w:eastAsia="Consolas" w:hAnsi="Consolas"/>
                <w:b/>
                <w:bCs/>
                <w:color w:val="4B5320"/>
                <w:sz w:val="18"/>
                <w:szCs w:val="18"/>
              </w:rPr>
              <w:t xml:space="preserve">APPLICABILITY</w:t>
            </w:r>
          </w:p>
        </w:tc>
        <w:tc>
          <w:tcPr>
            <w:tcW w:type="dxa" w:w="7120"/>
          </w:tcPr>
          <w:p>
            <w:pPr>
              <w:spacing w:after="100"/>
            </w:pPr>
            <w:r>
              <w:rPr>
                <w:sz w:val="20"/>
                <w:szCs w:val="20"/>
              </w:rPr>
              <w:t xml:space="preserve">All systems in the Army cyber portfolio under CCoE cognizance</w:t>
            </w:r>
          </w:p>
        </w:tc>
      </w:tr>
      <w:tr>
        <w:tc>
          <w:tcPr>
            <w:tcW w:type="dxa" w:w="2600"/>
            <w:shd w:fill="F4F5EF" w:val="clear"/>
          </w:tcPr>
          <w:p>
            <w:pPr>
              <w:spacing w:after="100"/>
            </w:pPr>
            <w:r>
              <w:rPr>
                <w:rFonts w:ascii="Consolas" w:cs="Consolas" w:eastAsia="Consolas" w:hAnsi="Consolas"/>
                <w:b/>
                <w:bCs/>
                <w:color w:val="4B5320"/>
                <w:sz w:val="18"/>
                <w:szCs w:val="18"/>
              </w:rPr>
              <w:t xml:space="preserve">APPROVAL AUTHORITY</w:t>
            </w:r>
          </w:p>
        </w:tc>
        <w:tc>
          <w:tcPr>
            <w:tcW w:type="dxa" w:w="7120"/>
          </w:tcPr>
          <w:p>
            <w:pPr>
              <w:spacing w:after="100"/>
            </w:pPr>
            <w:r>
              <w:rPr>
                <w:sz w:val="20"/>
                <w:szCs w:val="20"/>
              </w:rPr>
              <w:t xml:space="preserve">CISO</w:t>
            </w:r>
          </w:p>
        </w:tc>
      </w:tr>
      <w:tr>
        <w:tc>
          <w:tcPr>
            <w:tcW w:type="dxa" w:w="2600"/>
            <w:shd w:fill="F4F5EF" w:val="clear"/>
          </w:tcPr>
          <w:p>
            <w:pPr>
              <w:spacing w:after="100"/>
            </w:pPr>
            <w:r>
              <w:rPr>
                <w:rFonts w:ascii="Consolas" w:cs="Consolas" w:eastAsia="Consolas" w:hAnsi="Consolas"/>
                <w:b/>
                <w:bCs/>
                <w:color w:val="4B5320"/>
                <w:sz w:val="18"/>
                <w:szCs w:val="18"/>
              </w:rPr>
              <w:t xml:space="preserve">RELATED TEMPLATES</w:t>
            </w:r>
          </w:p>
        </w:tc>
        <w:tc>
          <w:tcPr>
            <w:tcW w:type="dxa" w:w="7120"/>
          </w:tcPr>
          <w:p>
            <w:pPr>
              <w:spacing w:after="100"/>
            </w:pPr>
            <w:r>
              <w:rPr>
                <w:sz w:val="20"/>
                <w:szCs w:val="20"/>
              </w:rPr>
              <w:t xml:space="preserve">Control Implementation Statement Frames v3.0</w:t>
            </w:r>
          </w:p>
        </w:tc>
      </w:tr>
      <w:tr>
        <w:tc>
          <w:tcPr>
            <w:tcW w:type="dxa" w:w="2600"/>
            <w:shd w:fill="F4F5EF" w:val="clear"/>
          </w:tcPr>
          <w:p>
            <w:pPr>
              <w:spacing w:after="100"/>
            </w:pPr>
            <w:r>
              <w:rPr>
                <w:rFonts w:ascii="Consolas" w:cs="Consolas" w:eastAsia="Consolas" w:hAnsi="Consolas"/>
                <w:b/>
                <w:bCs/>
                <w:color w:val="4B5320"/>
                <w:sz w:val="18"/>
                <w:szCs w:val="18"/>
              </w:rPr>
              <w:t xml:space="preserve">SUPERSEDED DOCUMENTS</w:t>
            </w:r>
          </w:p>
        </w:tc>
        <w:tc>
          <w:tcPr>
            <w:tcW w:type="dxa" w:w="7120"/>
          </w:tcPr>
          <w:p>
            <w:pPr>
              <w:spacing w:after="100"/>
            </w:pPr>
            <w:r>
              <w:rPr>
                <w:sz w:val="20"/>
                <w:szCs w:val="20"/>
              </w:rPr>
              <w:t xml:space="preserve">SSP Language Blocks v4.1</w:t>
            </w:r>
          </w:p>
        </w:tc>
      </w:tr>
    </w:tbl>
    <w:p>
      <w:pPr>
        <w:spacing w:after="100"/>
      </w:pPr>
      <w:r>
        <w:rPr>
          <w:sz w:val="21"/>
          <w:szCs w:val="21"/>
        </w:rPr>
        <w:t xml:space="preserve"> </w:t>
      </w:r>
    </w:p>
    <w:p>
      <w:pPr>
        <w:spacing w:after="100"/>
      </w:pPr>
      <w:r>
        <w:rPr>
          <w:i/>
          <w:iCs/>
          <w:color w:val="5A6157"/>
          <w:sz w:val="19"/>
          <w:szCs w:val="19"/>
        </w:rPr>
        <w:t xml:space="preserve">Pre-approved boilerplate for the boundary, environment, and roles sections of an SSP. Replace bracketed values; do not alter approved sentence structure without ISSM concurrence.</w:t>
      </w:r>
    </w:p>
    <w:p>
      <w:pPr>
        <w:pStyle w:val="Heading2"/>
        <w:spacing w:after="100" w:before="220"/>
      </w:pPr>
      <w:r>
        <w:rPr>
          <w:b/>
          <w:bCs/>
          <w:color w:val="1E211C"/>
          <w:sz w:val="24"/>
          <w:szCs w:val="24"/>
        </w:rPr>
        <w:t xml:space="preserve">1. System Identification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4F5EF" w:val="clear"/>
          </w:tcPr>
          <w:p>
            <w:pPr>
              <w:spacing w:after="100"/>
            </w:pPr>
            <w:r>
              <w:rPr>
                <w:b/>
                <w:bCs/>
                <w:sz w:val="20"/>
                <w:szCs w:val="20"/>
              </w:rPr>
              <w:t xml:space="preserve">System Name / Acronym</w:t>
            </w:r>
          </w:p>
        </w:tc>
        <w:tc>
          <w:tcPr>
            <w:tcW w:type="dxa" w:w="6720"/>
          </w:tcPr>
          <w:p>
            <w:pPr>
              <w:spacing w:after="100"/>
            </w:pPr>
            <w:r>
              <w:rPr>
                <w:i w:val="false"/>
                <w:iCs w:val="false"/>
                <w:color w:val="2B4C8C"/>
                <w:sz w:val="21"/>
                <w:szCs w:val="21"/>
              </w:rPr>
              <w:t xml:space="preserve">Logistics Network Node 04 (LOGNET-04)</w:t>
            </w:r>
          </w:p>
        </w:tc>
      </w:tr>
      <w:tr>
        <w:tc>
          <w:tcPr>
            <w:tcW w:type="dxa" w:w="3000"/>
            <w:shd w:fill="F4F5EF" w:val="clear"/>
          </w:tcPr>
          <w:p>
            <w:pPr>
              <w:spacing w:after="100"/>
            </w:pPr>
            <w:r>
              <w:rPr>
                <w:b/>
                <w:bCs/>
                <w:sz w:val="20"/>
                <w:szCs w:val="20"/>
              </w:rPr>
              <w:t xml:space="preserve">eMASS ID</w:t>
            </w:r>
          </w:p>
        </w:tc>
        <w:tc>
          <w:tcPr>
            <w:tcW w:type="dxa" w:w="6720"/>
          </w:tcPr>
          <w:p>
            <w:pPr>
              <w:spacing w:after="100"/>
            </w:pPr>
            <w:r>
              <w:rPr>
                <w:i w:val="false"/>
                <w:iCs w:val="false"/>
                <w:color w:val="2B4C8C"/>
                <w:sz w:val="21"/>
                <w:szCs w:val="21"/>
              </w:rPr>
              <w:t xml:space="preserve">EM-104558</w:t>
            </w:r>
          </w:p>
        </w:tc>
      </w:tr>
      <w:tr>
        <w:tc>
          <w:tcPr>
            <w:tcW w:type="dxa" w:w="3000"/>
            <w:shd w:fill="F4F5EF" w:val="clear"/>
          </w:tcPr>
          <w:p>
            <w:pPr>
              <w:spacing w:after="100"/>
            </w:pPr>
            <w:r>
              <w:rPr>
                <w:b/>
                <w:bCs/>
                <w:sz w:val="20"/>
                <w:szCs w:val="20"/>
              </w:rPr>
              <w:t xml:space="preserve">System Type</w:t>
            </w:r>
          </w:p>
        </w:tc>
        <w:tc>
          <w:tcPr>
            <w:tcW w:type="dxa" w:w="6720"/>
          </w:tcPr>
          <w:p>
            <w:pPr>
              <w:spacing w:after="100"/>
            </w:pPr>
            <w:r>
              <w:rPr>
                <w:i w:val="false"/>
                <w:iCs w:val="false"/>
                <w:color w:val="2B4C8C"/>
                <w:sz w:val="21"/>
                <w:szCs w:val="21"/>
              </w:rPr>
              <w:t xml:space="preserve">Major Application</w:t>
            </w:r>
          </w:p>
        </w:tc>
      </w:tr>
      <w:tr>
        <w:tc>
          <w:tcPr>
            <w:tcW w:type="dxa" w:w="3000"/>
            <w:shd w:fill="F4F5EF" w:val="clear"/>
          </w:tcPr>
          <w:p>
            <w:pPr>
              <w:spacing w:after="100"/>
            </w:pPr>
            <w:r>
              <w:rPr>
                <w:b/>
                <w:bCs/>
                <w:sz w:val="20"/>
                <w:szCs w:val="20"/>
              </w:rPr>
              <w:t xml:space="preserve">Authorization Pathway</w:t>
            </w:r>
          </w:p>
        </w:tc>
        <w:tc>
          <w:tcPr>
            <w:tcW w:type="dxa" w:w="6720"/>
          </w:tcPr>
          <w:p>
            <w:pPr>
              <w:spacing w:after="100"/>
            </w:pPr>
            <w:r>
              <w:rPr>
                <w:i w:val="false"/>
                <w:iCs w:val="false"/>
                <w:color w:val="2B4C8C"/>
                <w:sz w:val="21"/>
                <w:szCs w:val="21"/>
              </w:rPr>
              <w:t xml:space="preserve">Full ATO</w:t>
            </w:r>
          </w:p>
        </w:tc>
      </w:tr>
      <w:tr>
        <w:tc>
          <w:tcPr>
            <w:tcW w:type="dxa" w:w="3000"/>
            <w:shd w:fill="F4F5EF" w:val="clear"/>
          </w:tcPr>
          <w:p>
            <w:pPr>
              <w:spacing w:after="100"/>
            </w:pPr>
            <w:r>
              <w:rPr>
                <w:b/>
                <w:bCs/>
                <w:sz w:val="20"/>
                <w:szCs w:val="20"/>
              </w:rPr>
              <w:t xml:space="preserve">Impact Level (FIPS 199)</w:t>
            </w:r>
          </w:p>
        </w:tc>
        <w:tc>
          <w:tcPr>
            <w:tcW w:type="dxa" w:w="6720"/>
          </w:tcPr>
          <w:p>
            <w:pPr>
              <w:spacing w:after="100"/>
            </w:pPr>
            <w:r>
              <w:rPr>
                <w:i w:val="false"/>
                <w:iCs w:val="false"/>
                <w:color w:val="2B4C8C"/>
                <w:sz w:val="21"/>
                <w:szCs w:val="21"/>
              </w:rPr>
              <w:t xml:space="preserve">Moderate-Moderate-Moderate</w:t>
            </w:r>
          </w:p>
        </w:tc>
      </w:tr>
    </w:tbl>
    <w:p>
      <w:pPr>
        <w:pStyle w:val="Heading2"/>
        <w:spacing w:after="100" w:before="220"/>
      </w:pPr>
      <w:r>
        <w:rPr>
          <w:b/>
          <w:bCs/>
          <w:color w:val="1E211C"/>
          <w:sz w:val="24"/>
          <w:szCs w:val="24"/>
        </w:rPr>
        <w:t xml:space="preserve">2. Authorization Boundary (approved language)</w:t>
      </w:r>
    </w:p>
    <w:p>
      <w:pPr>
        <w:spacing w:after="100"/>
      </w:pPr>
      <w:r>
        <w:rPr>
          <w:color w:val="2B4C8C"/>
          <w:sz w:val="21"/>
          <w:szCs w:val="21"/>
        </w:rPr>
        <w:t xml:space="preserve">The authorization boundary for LOGNET-04 encompasses all hardware, software, and network components within enclave VLANs 210–214 at the primary hosting facility, including two application servers, one database cluster, and the dedicated management segment. Interconnections to SUPPLY-NET are governed by ISA-2026-014. Components outside this boundary, including user workstations, inherit protection from the installation campus area network.</w:t>
      </w:r>
    </w:p>
    <w:p>
      <w:pPr>
        <w:pStyle w:val="Heading2"/>
        <w:spacing w:after="100" w:before="220"/>
      </w:pPr>
      <w:r>
        <w:rPr>
          <w:b/>
          <w:bCs/>
          <w:color w:val="1E211C"/>
          <w:sz w:val="24"/>
          <w:szCs w:val="24"/>
        </w:rPr>
        <w:t xml:space="preserve">3. System Environment (approved language)</w:t>
      </w:r>
    </w:p>
    <w:p>
      <w:pPr>
        <w:spacing w:after="100"/>
      </w:pPr>
      <w:r>
        <w:rPr>
          <w:color w:val="2B4C8C"/>
          <w:sz w:val="21"/>
          <w:szCs w:val="21"/>
        </w:rPr>
        <w:t xml:space="preserve">LOGNET-04 operates in a government-owned, contractor-operated data center at Impact Level 4. The operating environment consists of virtualized RHEL 9 and Windows Server 2022 hosts on the approved enterprise hypervisor baseline, patched per the CCoE patch management SOP. Physical and environmental protections are inherited from the hosting facility (see inherited controls matrix, Appendix C).</w:t>
      </w:r>
    </w:p>
    <w:p>
      <w:pPr>
        <w:pStyle w:val="Heading2"/>
        <w:spacing w:after="100" w:before="220"/>
      </w:pPr>
      <w:r>
        <w:rPr>
          <w:b/>
          <w:bCs/>
          <w:color w:val="1E211C"/>
          <w:sz w:val="24"/>
          <w:szCs w:val="24"/>
        </w:rPr>
        <w:t xml:space="preserve">4. Roles and Responsibilities (approved language)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4F5EF" w:val="clear"/>
          </w:tcPr>
          <w:p>
            <w:pPr>
              <w:spacing w:after="100"/>
            </w:pPr>
            <w:r>
              <w:rPr>
                <w:b/>
                <w:bCs/>
                <w:sz w:val="20"/>
                <w:szCs w:val="20"/>
              </w:rPr>
              <w:t xml:space="preserve">Authorizing Official (AO)</w:t>
            </w:r>
          </w:p>
        </w:tc>
        <w:tc>
          <w:tcPr>
            <w:tcW w:type="dxa" w:w="6720"/>
          </w:tcPr>
          <w:p>
            <w:pPr>
              <w:spacing w:after="100"/>
            </w:pPr>
            <w:r>
              <w:rPr>
                <w:i w:val="false"/>
                <w:iCs w:val="false"/>
                <w:color w:val="2B4C8C"/>
                <w:sz w:val="21"/>
                <w:szCs w:val="21"/>
              </w:rPr>
              <w:t xml:space="preserve">Accepts risk for system operation; signs authorization decisions.</w:t>
            </w:r>
          </w:p>
        </w:tc>
      </w:tr>
      <w:tr>
        <w:tc>
          <w:tcPr>
            <w:tcW w:type="dxa" w:w="3000"/>
            <w:shd w:fill="F4F5EF" w:val="clear"/>
          </w:tcPr>
          <w:p>
            <w:pPr>
              <w:spacing w:after="100"/>
            </w:pPr>
            <w:r>
              <w:rPr>
                <w:b/>
                <w:bCs/>
                <w:sz w:val="20"/>
                <w:szCs w:val="20"/>
              </w:rPr>
              <w:t xml:space="preserve">ISSM</w:t>
            </w:r>
          </w:p>
        </w:tc>
        <w:tc>
          <w:tcPr>
            <w:tcW w:type="dxa" w:w="6720"/>
          </w:tcPr>
          <w:p>
            <w:pPr>
              <w:spacing w:after="100"/>
            </w:pPr>
            <w:r>
              <w:rPr>
                <w:i w:val="false"/>
                <w:iCs w:val="false"/>
                <w:color w:val="2B4C8C"/>
                <w:sz w:val="21"/>
                <w:szCs w:val="21"/>
              </w:rPr>
              <w:t xml:space="preserve">Maintains the security program; validates package quality prior to submission.</w:t>
            </w:r>
          </w:p>
        </w:tc>
      </w:tr>
      <w:tr>
        <w:tc>
          <w:tcPr>
            <w:tcW w:type="dxa" w:w="3000"/>
            <w:shd w:fill="F4F5EF" w:val="clear"/>
          </w:tcPr>
          <w:p>
            <w:pPr>
              <w:spacing w:after="100"/>
            </w:pPr>
            <w:r>
              <w:rPr>
                <w:b/>
                <w:bCs/>
                <w:sz w:val="20"/>
                <w:szCs w:val="20"/>
              </w:rPr>
              <w:t xml:space="preserve">ISSO</w:t>
            </w:r>
          </w:p>
        </w:tc>
        <w:tc>
          <w:tcPr>
            <w:tcW w:type="dxa" w:w="6720"/>
          </w:tcPr>
          <w:p>
            <w:pPr>
              <w:spacing w:after="100"/>
            </w:pPr>
            <w:r>
              <w:rPr>
                <w:i w:val="false"/>
                <w:iCs w:val="false"/>
                <w:color w:val="2B4C8C"/>
                <w:sz w:val="21"/>
                <w:szCs w:val="21"/>
              </w:rPr>
              <w:t xml:space="preserve">Executes daily RMF operations, ConMon evidence collection, and POA&amp;M upkeep.</w:t>
            </w:r>
          </w:p>
        </w:tc>
      </w:tr>
      <w:tr>
        <w:tc>
          <w:tcPr>
            <w:tcW w:type="dxa" w:w="3000"/>
            <w:shd w:fill="F4F5EF" w:val="clear"/>
          </w:tcPr>
          <w:p>
            <w:pPr>
              <w:spacing w:after="100"/>
            </w:pPr>
            <w:r>
              <w:rPr>
                <w:b/>
                <w:bCs/>
                <w:sz w:val="20"/>
                <w:szCs w:val="20"/>
              </w:rPr>
              <w:t xml:space="preserve">System Owner</w:t>
            </w:r>
          </w:p>
        </w:tc>
        <w:tc>
          <w:tcPr>
            <w:tcW w:type="dxa" w:w="6720"/>
          </w:tcPr>
          <w:p>
            <w:pPr>
              <w:spacing w:after="100"/>
            </w:pPr>
            <w:r>
              <w:rPr>
                <w:i w:val="false"/>
                <w:iCs w:val="false"/>
                <w:color w:val="2B4C8C"/>
                <w:sz w:val="21"/>
                <w:szCs w:val="21"/>
              </w:rPr>
              <w:t xml:space="preserve">Resources remediation; accountable for milestone commitments.</w:t>
            </w:r>
          </w:p>
        </w:tc>
      </w:tr>
    </w:tbl>
    <w:p>
      <w:pPr>
        <w:pStyle w:val="Heading2"/>
        <w:spacing w:after="100" w:before="220"/>
      </w:pPr>
      <w:r>
        <w:rPr>
          <w:b/>
          <w:bCs/>
          <w:color w:val="1E211C"/>
          <w:sz w:val="24"/>
          <w:szCs w:val="24"/>
        </w:rPr>
        <w:t xml:space="preserve">5. Revision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4F5EF" w:val="clear"/>
          </w:tcPr>
          <w:p>
            <w:pPr>
              <w:spacing w:after="100"/>
            </w:pPr>
            <w:r>
              <w:rPr>
                <w:b/>
                <w:bCs/>
                <w:sz w:val="20"/>
                <w:szCs w:val="20"/>
              </w:rPr>
              <w:t xml:space="preserve">v4.2 — 2026-05-18</w:t>
            </w:r>
          </w:p>
        </w:tc>
        <w:tc>
          <w:tcPr>
            <w:tcW w:type="dxa" w:w="6720"/>
          </w:tcPr>
          <w:p>
            <w:pPr>
              <w:spacing w:after="100"/>
            </w:pPr>
            <w:r>
              <w:rPr>
                <w:i w:val="false"/>
                <w:iCs w:val="false"/>
                <w:color w:val="2B4C8C"/>
                <w:sz w:val="21"/>
                <w:szCs w:val="21"/>
              </w:rPr>
              <w:t xml:space="preserve">Updated boundary frame for cloud-inheritance language per Cloud Governance v3.0.</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2026-07-02T11:48:23.555Z</dcterms:created>
  <dcterms:modified xsi:type="dcterms:W3CDTF">2026-07-02T11:48:23.555Z</dcterms:modified>
</cp:coreProperties>
</file>

<file path=docProps/custom.xml><?xml version="1.0" encoding="utf-8"?>
<Properties xmlns="http://schemas.openxmlformats.org/officeDocument/2006/custom-properties" xmlns:vt="http://schemas.openxmlformats.org/officeDocument/2006/docPropsVTypes"/>
</file>