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TEMPLATE — NO CUI OR CLASSIFIED DATA</w:t>
      </w:r>
    </w:p>
    <w:p>
      <w:pPr>
        <w:pStyle w:val="Heading1"/>
        <w:spacing w:after="120"/>
      </w:pPr>
      <w:r>
        <w:rPr>
          <w:b/>
          <w:bCs/>
          <w:color w:val="4B5320"/>
          <w:sz w:val="32"/>
          <w:szCs w:val="32"/>
        </w:rPr>
        <w:t xml:space="preserve">Significant Change Request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Cybersecurity Office — CCoE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v3.2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2026-05-30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2026-11-30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Minor Change Memo v2.0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SCR v3.1 (retired 30 JUN 2026)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spacing w:after="100"/>
      </w:pPr>
      <w:r>
        <w:rPr>
          <w:i/>
          <w:iCs/>
          <w:color w:val="5A6157"/>
          <w:sz w:val="19"/>
          <w:szCs w:val="19"/>
        </w:rPr>
        <w:t xml:space="preserve">Use when a change alters risk posture, authorization boundary, or data types. If none of those change, use the Minor Change Memo.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SCR Number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Requested By / 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Change Description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Boundary Impact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Data Type Impact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Risk Posture Impact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Security Impact Analysis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CGB Adjudication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AO / AODR Decision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2026-07-02T11:48:23.762Z</dcterms:created>
  <dcterms:modified xsi:type="dcterms:W3CDTF">2026-07-02T11:48:23.762Z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