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TEMPLATE — NO CUI OR CLASSIFIED DATA</w:t>
      </w:r>
    </w:p>
    <w:p>
      <w:pPr>
        <w:pStyle w:val="Heading1"/>
        <w:spacing w:after="120"/>
      </w:pPr>
      <w:r>
        <w:rPr>
          <w:b/>
          <w:bCs/>
          <w:color w:val="4B5320"/>
          <w:sz w:val="32"/>
          <w:szCs w:val="32"/>
        </w:rPr>
        <w:t xml:space="preserve">Significant Change Request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20"/>
      </w:tblGrid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Cybersecurity Office — CCoE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VERSION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v3.2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2026-05-30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2026-11-30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Minor Change Memo v2.0</w:t>
            </w:r>
          </w:p>
        </w:tc>
      </w:tr>
      <w:tr>
        <w:tc>
          <w:tcPr>
            <w:tcW w:type="dxa" w:w="2600"/>
            <w:shd w:fill="F4F5EF" w:val="clear"/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7120"/>
          </w:tcPr>
          <w:p>
            <w:pPr>
              <w:spacing w:after="100"/>
            </w:pPr>
            <w:r>
              <w:rPr>
                <w:sz w:val="20"/>
                <w:szCs w:val="20"/>
              </w:rPr>
              <w:t xml:space="preserve">SCR v3.1 (retired 30 JUN 2026)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spacing w:after="100"/>
      </w:pPr>
      <w:r>
        <w:rPr>
          <w:i/>
          <w:iCs/>
          <w:color w:val="5A6157"/>
          <w:sz w:val="19"/>
          <w:szCs w:val="19"/>
        </w:rPr>
        <w:t xml:space="preserve">Use when a change alters risk posture, authorization boundary, or data types. If none of those change, use the Minor Change Memo.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720"/>
      </w:tblGrid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SCR Number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SCR-2026-041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System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CLOUD-PLT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Requested By / Date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A. Brooks, ISSO — 2026-06-02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Change Description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Add IL4 GovCloud region for disaster recovery; replicate database tier cross-region.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Boundary Impact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Yes — boundary extends to new region; updated diagram attached.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Data Type Impact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No new data types; existing CUI categories replicate unchanged.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Risk Posture Impact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New inheritance dependencies on region-specific controls; IL4 inheritance map re-baseline required.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Security Impact Analysis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Attached (SIA-2026-041): 6 controls affected (CP-9, CP-10, SC-7, SC-8, AC-4, AU-9); test plan included.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CGB Adjudication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Approved with conditions — re-baseline before cutover; CGB minutes 2026-06-10.</w:t>
            </w:r>
          </w:p>
        </w:tc>
      </w:tr>
      <w:tr>
        <w:tc>
          <w:tcPr>
            <w:tcW w:type="dxa" w:w="3000"/>
            <w:shd w:fill="F4F5EF" w:val="clear"/>
          </w:tcPr>
          <w:p>
            <w:pPr>
              <w:spacing w:after="100"/>
            </w:pPr>
            <w:r>
              <w:rPr>
                <w:b/>
                <w:bCs/>
                <w:sz w:val="20"/>
                <w:szCs w:val="20"/>
              </w:rPr>
              <w:t xml:space="preserve">AO / AODR Decision</w:t>
            </w:r>
          </w:p>
        </w:tc>
        <w:tc>
          <w:tcPr>
            <w:tcW w:type="dxa" w:w="6720"/>
          </w:tcPr>
          <w:p>
            <w:pPr>
              <w:spacing w:after="100"/>
            </w:pPr>
            <w:r>
              <w:rPr>
                <w:i w:val="false"/>
                <w:iCs w:val="false"/>
                <w:color w:val="2B4C8C"/>
                <w:sz w:val="21"/>
                <w:szCs w:val="21"/>
              </w:rPr>
              <w:t xml:space="preserve">Approved — 2026-06-12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2026-07-02T11:48:23.793Z</dcterms:created>
  <dcterms:modified xsi:type="dcterms:W3CDTF">2026-07-02T11:48:23.793Z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