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Template Catalog and Source Guide</w:t>
      </w:r>
    </w:p>
    <w:p>
      <w:r>
        <w:t>This starter collection contains nine editable system artifacts and one acquisition language workbook. It supports the workforce in preparing evidence and operating procedures alongside the tool-generated SSP and POA&amp;M. All authored documents are working drafts for local tailoring and approval; none is represented as an official government form.</w:t>
      </w:r>
    </w:p>
    <w:p>
      <w:pPr>
        <w:pStyle w:val="Heading2"/>
      </w:pPr>
      <w:r>
        <w:t>Recommended site catalog</w:t>
      </w:r>
    </w:p>
    <w:tbl>
      <w:tblPr>
        <w:tblW w:type="auto" w:w="0"/>
        <w:tblLayout w:type="fixed"/>
        <w:tblLook w:firstColumn="1" w:firstRow="1" w:lastColumn="0" w:lastRow="0" w:noHBand="0" w:noVBand="1" w:val="04A0"/>
      </w:tblPr>
      <w:tblGrid>
        <w:gridCol w:w="7776"/>
        <w:gridCol w:w="2160"/>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File</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Use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01 Cybersecurity Incident Response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02 System Contingency and Recovery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03 Business Impact Analysis Worksheet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04 Security Configuration Management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05 System Continuous Monitoring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06 Vulnerability and Patch Management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Core</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07 System Supply Chain Risk Management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Conditional</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08 Information Exchange Security Agreement Worksheet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Conditional</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09 System Decommissioning Plan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Conditional</w:t>
            </w:r>
          </w:p>
        </w:tc>
      </w:tr>
      <w:tr>
        <w:trPr>
          <w:cantSplit/>
        </w:trPr>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10 Cybersecurity SOW and PWS Language Workbook</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Acquisition drafting aid</w:t>
            </w:r>
          </w:p>
        </w:tc>
      </w:tr>
    </w:tbl>
    <w:p/>
    <w:p>
      <w:r>
        <w:t>The six core items are recommended starting artifacts, not a universal determination that every Army system requires six separate documents. Conditional artifacts may be required by selected controls or program circumstances. Reference enterprise content where sufficient and document local tasks and dependencies. The configuration baseline record is integrated into template 04 rather than published as another standalone plan.</w:t>
      </w:r>
    </w:p>
    <w:p>
      <w:pPr>
        <w:pStyle w:val="Heading2"/>
      </w:pPr>
      <w:r>
        <w:t>Suggested tailoring order</w:t>
      </w:r>
    </w:p>
    <w:p>
      <w:r>
        <w:t>Begin with mission impacts and recovery objectives, then tailor contingency and incident response together. Establish configuration control, vulnerability handling, and continuous monitoring around the same system inventory and baseline. Add SCRM, exchange, and retirement material when the system scope calls for them. Use the acquisition workbook before a solicitation or modification is finalized.</w:t>
      </w:r>
    </w:p>
    <w:p>
      <w:r>
        <w:br w:type="page"/>
      </w:r>
    </w:p>
    <w:p>
      <w:pPr>
        <w:pStyle w:val="Heading1"/>
      </w:pPr>
      <w:r>
        <w:t>Official forms and acquisition guidance</w:t>
      </w:r>
    </w:p>
    <w:p>
      <w:pPr>
        <w:pStyle w:val="Heading2"/>
      </w:pPr>
      <w:r>
        <w:t>DD Form 2930 Privacy Impact Assessment</w:t>
      </w:r>
    </w:p>
    <w:p>
      <w:r>
        <w:t>The public WHS forms catalog lists DD Form 2930, Privacy Impact Assessment, with an edition date of 5 February 2025. It is a DoD form used across components, not a new locally authored Army form. Route applicability and completion through the responsible privacy office. This collection does not recreate or alter the form.</w:t>
      </w:r>
    </w:p>
    <w:p>
      <w:r>
        <w:t>Catalog: https://www.esd.whs.mil/Directives/forms/dd2500_2999/DD2930/</w:t>
        <w:br/>
        <w:t>Publisher PDF: https://www.esd.whs.mil/Portals/54/Documents/DD/forms/dd/dd2930.pdf</w:t>
        <w:br/>
        <w:t>PIA instructions and forms: https://dodcio.defense.gov/PIA/</w:t>
      </w:r>
    </w:p>
    <w:p>
      <w:r>
        <w:t>Retrieval status: public catalog identification verified through search; direct PDF retrieval was not successful in this session. Use the publisher download link for the site entry. No verified original PDF is bundled.</w:t>
      </w:r>
    </w:p>
    <w:p>
      <w:pPr>
        <w:pStyle w:val="Heading2"/>
      </w:pPr>
      <w:r>
        <w:t>DoD Cybersecurity Strategy Outline and Guidance</w:t>
      </w:r>
    </w:p>
    <w:p>
      <w:r>
        <w:t>A public Navy CIO posting identifies the DoD CIO outline, Version 1.4 dated 24 June 2021, with an 8 July 2021 DoD CIO memorandum. The host is Navy CIO, but the enclosed outline is DoD guidance. This is the acquisition-program cybersecurity strategy outline, not the national cybersecurity strategy.</w:t>
      </w:r>
    </w:p>
    <w:p>
      <w:r>
        <w:t>Public posting: https://www.doncio.navy.mil/ContentView.aspx?ID=15083</w:t>
        <w:br/>
        <w:t>Publisher file link: https://www.doncio.navy.mil/Filehandler.ashx?id=18345</w:t>
        <w:br/>
        <w:t>Acquisition context: https://dodcio.defense.gov/Portals/0/Documents/Library/RequirementsAcquisitionDigitalCapabilitiesGuidebook.pdf</w:t>
      </w:r>
    </w:p>
    <w:p>
      <w:r>
        <w:t>Retrieval status: title, version, and publisher file link identified; direct PDF retrieval failed. No original PDF is bundled. Confirm the current required edition through the RMF Knowledge Service and Army approval chain before labeling this version current. Preserve the publisher document and applicable Army routing instructions; do not substitute a locally generated strategy template.</w:t>
      </w:r>
    </w:p>
    <w:p>
      <w:pPr>
        <w:pStyle w:val="Heading2"/>
      </w:pPr>
      <w:r>
        <w:t>Site entry text</w:t>
      </w:r>
    </w:p>
    <w:p>
      <w:r>
        <w:t>Suggested category: Official forms and guidance. Display the publisher, document edition, last verification date, and official download link. Keep these entries separate from editable local templates. Publish only the empty approved template or official public resource; populated system plans require their own handling and release determination.</w:t>
      </w:r>
    </w:p>
    <w:p>
      <w:r>
        <w:br w:type="page"/>
      </w:r>
    </w:p>
    <w:p>
      <w:pPr>
        <w:pStyle w:val="Heading1"/>
      </w:pPr>
      <w:r>
        <w:t>Source crosswalk and maintenance</w:t>
      </w:r>
    </w:p>
    <w:tbl>
      <w:tblPr>
        <w:tblW w:type="auto" w:w="0"/>
        <w:tblLayout w:type="fixed"/>
        <w:tblLook w:firstColumn="1" w:firstRow="1" w:lastColumn="0" w:lastRow="0" w:noHBand="0" w:noVBand="1" w:val="04A0"/>
      </w:tblPr>
      <w:tblGrid>
        <w:gridCol w:w="3240"/>
        <w:gridCol w:w="669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Artifact</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Primary navigation references</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Incident response</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AR 25-2 section 4-19; DA Pam 25-2-17; NIST 800-61r3</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Contingency and BIA</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AR 25-2 section 4-4; NIST 800-34r1</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Configuration and monitoring</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 Pam 25-2-14 sections 4-8 and 4-9; NIST 800-37 Appendix F</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Vulnerability and patches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NIST 800-40r4; assigned RA-5 and SI-2 requirements</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Supply chain and exchanges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NIST 800-161r1 updated 2024; NIST 800-47r1</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Decommissioning</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 Pam 25-2-14 section 4-11</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Acquisition modules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FAR 37.602; NIST 800-160v1r1 and 800-218; applicable DFARS clauses</w:t>
            </w:r>
          </w:p>
        </w:tc>
      </w:tr>
    </w:tbl>
    <w:p/>
    <w:p>
      <w:pPr>
        <w:pStyle w:val="Heading2"/>
      </w:pPr>
      <w:r>
        <w:t>Catalog ownership and change process</w:t>
      </w:r>
    </w:p>
    <w:p>
      <w:r>
        <w:t>Owner [CSO knowledge manager]. Technical reviewers [ISSM, engineering, privacy, acquisition]. Review interval [set locally]. Trigger review when source publications, Army orders, tooling, or portfolio practices change. Record each template revision, affected fields, reason, approval, and replacement link. Retire old downloads after the new version is approved while retaining the required change history.</w:t>
      </w:r>
    </w:p>
    <w:p>
      <w:pPr>
        <w:pStyle w:val="Heading2"/>
      </w:pPr>
      <w:r>
        <w:t>Decisions needed before workforce release</w:t>
      </w:r>
    </w:p>
    <w:p>
      <w:r>
        <w:t>Confirm command-specific reporting routes and deadlines, control-baseline versions, inheritance providers, approval authorities, recovery expectations, vulnerability priorities, and tool evidence conventions. Validate the SOW/PWS modules with the contracting team. Verify the official form and CSS download files on an authorized network. These remaining decisions are explicit tailoring fields, not assumed approvals.</w:t>
      </w:r>
    </w:p>
    <w:p>
      <w:pPr>
        <w:pStyle w:val="Heading2"/>
      </w:pPr>
      <w:r>
        <w:t>Research boundary</w:t>
      </w:r>
    </w:p>
    <w:p>
      <w:r>
        <w:t>Public sources checked on 28 October 2026. The Army publications reviewed are the public 2019 AR 25-2 and DA Pam 25-2-14/17 editions linked by Army CIO. This is not a certification that all later Army memoranda, NETCOM orders, or CAC-restricted RMF guidance have been incorporated. No existing site content has been replaced or published by this drafting task.</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Catalog and publishing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