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Cybersecurity Incident Response Plan</w:t>
      </w:r>
    </w:p>
    <w:p>
      <w:r>
        <w:t>This plan defines how [system] recognizes, reports, contains, and recovers from cybersecurity incidents. It connects system operators with the supporting cybersecurity service provider and Government decision authorities.</w:t>
      </w:r>
    </w:p>
    <w:p>
      <w:pPr>
        <w:pStyle w:val="Heading2"/>
      </w:pPr>
      <w:r>
        <w:t>How to tailor this draft</w:t>
      </w:r>
    </w:p>
    <w:p>
      <w:r>
        <w:t>Replace every bracketed field. The operating language below is a proposed local approach, not an approved Army policy. Validate it against the assigned control baseline, overlays, authorization conditions, current command guidance, and contractual responsibilities. Remove drafting instructions before approval. Do not change a mandated deadline to match an illustrative local target.</w:t>
      </w:r>
    </w:p>
    <w:p>
      <w:r>
        <w:t>Use enterprise plans by reference where they apply, but identify the provider, document version, inherited service, local tasks, and evidence of coverage. Record a reason and approving role for any section treated as not applicable. Keep the SSP and POA&amp;M in the designated RMF tool; link to them rather than reproducing them here.</w:t>
      </w:r>
    </w:p>
    <w:p>
      <w:pPr>
        <w:pStyle w:val="Heading2"/>
      </w:pPr>
      <w:r>
        <w:t>System and document control</w:t>
      </w:r>
    </w:p>
    <w:tbl>
      <w:tblPr>
        <w:tblW w:type="auto" w:w="0"/>
        <w:tblLayout w:type="fixed"/>
        <w:tblLook w:firstColumn="1" w:firstRow="1" w:lastColumn="0" w:lastRow="0" w:noHBand="0" w:noVBand="1" w:val="04A0"/>
      </w:tblPr>
      <w:tblGrid>
        <w:gridCol w:w="2952"/>
        <w:gridCol w:w="6984"/>
      </w:tblGrid>
      <w:tr>
        <w:trPr>
          <w:cantSplit/>
          <w:tblHeader/>
        </w:trPr>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Field</w:t>
            </w:r>
          </w:p>
        </w:tc>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Complete for this system</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System name and RMF record</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[Name / acronym / record ID / boundary version]</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Scope and operating modes</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[Boundary / deployment sites / disconnected operation / cloud or hosted services]</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Owner and custodian</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[System owner / ISSM or ISSO / document custodian]</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Approval and effective date</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[Approving role / name / signature / date]</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Review and distribution</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[Review interval / event triggers / repository / authorized recipients]</w:t>
            </w:r>
          </w:p>
        </w:tc>
      </w:tr>
    </w:tbl>
    <w:p/>
    <w:p>
      <w:pPr>
        <w:pStyle w:val="Heading2"/>
      </w:pPr>
      <w:r>
        <w:t>Local decisions to record</w:t>
      </w:r>
    </w:p>
    <w:p>
      <w:r>
        <w:t>Approval of this document: [role]. Authority for operational actions: [role and limits]. Residual risk acceptance: [authorized Government official]. Completed-document handling and marking: [determination under applicable guidance]. A blank public template does not establish the handling rules for a populated system artifact.</w:t>
      </w:r>
    </w:p>
    <w:p>
      <w:r>
        <w:br w:type="page"/>
      </w:r>
    </w:p>
    <w:p>
      <w:pPr>
        <w:pStyle w:val="Heading1"/>
      </w:pPr>
      <w:r>
        <w:t>Operating procedures</w:t>
      </w:r>
    </w:p>
    <w:p>
      <w:pPr>
        <w:pStyle w:val="Heading2"/>
      </w:pPr>
      <w:r>
        <w:t>Activation and initial reporting</w:t>
      </w:r>
    </w:p>
    <w:p>
      <w:r>
        <w:t>Personnel who observe a suspected incident notify [24 hour reporting channel] using an approved communication method. The receiving responder records discovery time with timezone, affected assets, observed behavior, possible mission impact, and reporter contact. Do not delay required reporting while waiting to confirm root cause. Use the reporting matrix on the next page to apply the correct command, privacy, spillage, or contractual reporting route.</w:t>
      </w:r>
    </w:p>
    <w:p>
      <w:pPr>
        <w:pStyle w:val="Heading2"/>
      </w:pPr>
      <w:r>
        <w:t>Triage and coordinated containment</w:t>
      </w:r>
    </w:p>
    <w:p>
      <w:r>
        <w:t>[Incident lead] coordinates classification and severity with [CSSP]. Preserve logs and record actions before making changes when feasible. [Role] may isolate [assets or interfaces] under [preauthorized conditions]; actions affecting safety, training events, or mission availability require [decision authority]. Use alternate communications if the affected service cannot be trusted. Do not reboot, wipe, or reconnect an asset solely to make an alert disappear.</w:t>
      </w:r>
    </w:p>
    <w:p>
      <w:pPr>
        <w:pStyle w:val="Heading2"/>
      </w:pPr>
      <w:r>
        <w:t>Investigation and recovery</w:t>
      </w:r>
    </w:p>
    <w:p>
      <w:r>
        <w:t>[Evidence custodian] records collector, timestamp, source, method, integrity check where appropriate, transfers, and storage location for each evidence item. Coordinate investigative activity with authorized responders, law enforcement, and counterintelligence as applicable. Recover from a validated baseline after the response lead confirms that the intrusion path is addressed. [Mission owner] validates restored functionality; [designated official] authorizes reconnection.</w:t>
      </w:r>
    </w:p>
    <w:p>
      <w:pPr>
        <w:pStyle w:val="Heading2"/>
      </w:pPr>
      <w:r>
        <w:t>Special cases and closure</w:t>
      </w:r>
    </w:p>
    <w:p>
      <w:r>
        <w:t>For suspected classified spillage or PII exposure, contact the designated security or privacy authority through the approved route; do not forward exposed content to an unapproved channel. Attach environment-specific playbooks for compromised credentials, ransomware, data exposure, and disconnected deployments. [Custodian] updates actions and lessons in the existing tracking tool and revises the plan after exercises or incidents.</w:t>
      </w:r>
    </w:p>
    <w:p>
      <w:r>
        <w:br w:type="page"/>
      </w:r>
    </w:p>
    <w:p>
      <w:pPr>
        <w:pStyle w:val="Heading1"/>
      </w:pPr>
      <w:r>
        <w:t>System records and exercise worksheet</w:t>
      </w:r>
    </w:p>
    <w:p>
      <w:r>
        <w:t>Complete the records below and expand them for the actual system. Link to authoritative records where they already exist; retain enough local detail to execute the procedure during a tool or network outage.</w:t>
      </w:r>
    </w:p>
    <w:tbl>
      <w:tblPr>
        <w:tblW w:type="auto" w:w="0"/>
        <w:tblLayout w:type="fixed"/>
        <w:tblLook w:firstColumn="1" w:firstRow="1" w:lastColumn="0" w:lastRow="0" w:noHBand="0" w:noVBand="1" w:val="04A0"/>
      </w:tblPr>
      <w:tblGrid>
        <w:gridCol w:w="2880"/>
        <w:gridCol w:w="3672"/>
        <w:gridCol w:w="3384"/>
      </w:tblGrid>
      <w:tr>
        <w:trPr>
          <w:cantSplit/>
          <w:tblHeader/>
        </w:trPr>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Reporting route</w:t>
            </w:r>
          </w:p>
        </w:tc>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Trigger and required timing</w:t>
            </w:r>
          </w:p>
        </w:tc>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Primary and alternate</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CSSP and command</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[Trigger / deadline / governing order]</w:t>
            </w:r>
          </w:p>
        </w:tc>
        <w:tc>
          <w:tcPr>
            <w:tcW w:type="dxa" w:w="33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[Secure channel / alternate]</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Privacy or security office</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[PII breach / spillage rule]</w:t>
            </w:r>
          </w:p>
        </w:tc>
        <w:tc>
          <w:tcPr>
            <w:tcW w:type="dxa" w:w="33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[Role / channel]</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Law enforcement or CI</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[Applicable threshold / direction]</w:t>
            </w:r>
          </w:p>
        </w:tc>
        <w:tc>
          <w:tcPr>
            <w:tcW w:type="dxa" w:w="33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[Role / coordination route]</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Contractor reporting</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[Separate contract obligation if applicable]</w:t>
            </w:r>
          </w:p>
        </w:tc>
        <w:tc>
          <w:tcPr>
            <w:tcW w:type="dxa" w:w="33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[Contract reporting channel]</w:t>
            </w:r>
          </w:p>
        </w:tc>
      </w:tr>
    </w:tbl>
    <w:p/>
    <w:p>
      <w:pPr>
        <w:pStyle w:val="Heading2"/>
      </w:pPr>
      <w:r>
        <w:t>Exercise or walkthrough</w:t>
      </w:r>
    </w:p>
    <w:p>
      <w:r>
        <w:t>Exercise a compromised administrator account during a disconnected training event. Show who can isolate the host, how reports leave the site, how evidence is preserved, and who can authorize restoration. Record actual notification and restoration times, unanswered calls, and decisions that lacked an assigned authority.</w:t>
      </w:r>
    </w:p>
    <w:tbl>
      <w:tblPr>
        <w:tblW w:type="auto" w:w="0"/>
        <w:tblLayout w:type="fixed"/>
        <w:tblLook w:firstColumn="1" w:firstRow="1" w:lastColumn="0" w:lastRow="0" w:noHBand="0" w:noVBand="1" w:val="04A0"/>
      </w:tblPr>
      <w:tblGrid>
        <w:gridCol w:w="2880"/>
        <w:gridCol w:w="7056"/>
      </w:tblGrid>
      <w:tr>
        <w:trPr>
          <w:cantSplit/>
          <w:tblHeader/>
        </w:trPr>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Exercise record</w:t>
            </w:r>
          </w:p>
        </w:tc>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System entry</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Date and participants</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[Date / roles / facilitator]</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Observed result</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[Expected versus actual / evidence]</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Decision or gap</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[Issue / accountable owner / due date]</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Follow through</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[Tracking record / retest date / closure evidence]</w:t>
            </w:r>
          </w:p>
        </w:tc>
      </w:tr>
    </w:tbl>
    <w:p/>
    <w:p>
      <w:r>
        <w:br w:type="page"/>
      </w:r>
    </w:p>
    <w:p>
      <w:pPr>
        <w:pStyle w:val="Heading1"/>
      </w:pPr>
      <w:r>
        <w:t>Completion and approval checks</w:t>
      </w:r>
    </w:p>
    <w:p>
      <w:r>
        <w:t>☐ Verify primary and alternate contacts without transmitting incident data.</w:t>
      </w:r>
    </w:p>
    <w:p>
      <w:r>
        <w:t>☐ Demonstrate the reporting and isolation decision paths in an exercise.</w:t>
      </w:r>
    </w:p>
    <w:p>
      <w:r>
        <w:t>☐ Record CSSP responsibilities and the local tasks that remain with the system team.</w:t>
      </w:r>
    </w:p>
    <w:p>
      <w:r>
        <w:t>☐ Link evidence handling, recovery testing, and unresolved corrective actions.</w:t>
      </w:r>
    </w:p>
    <w:p>
      <w:pPr>
        <w:pStyle w:val="Heading2"/>
      </w:pPr>
      <w:r>
        <w:t>Control mapping for tailoring</w:t>
      </w:r>
    </w:p>
    <w:p>
      <w:r>
        <w:t>IR-4, IR-6, IR-8, IR-9; CP-2 coordination. Verify selected enhancements and organization-defined parameters.</w:t>
      </w:r>
    </w:p>
    <w:p>
      <w:pPr>
        <w:pStyle w:val="Heading2"/>
      </w:pPr>
      <w:r>
        <w:t>Applicability and source basis</w:t>
      </w:r>
    </w:p>
    <w:p>
      <w:r>
        <w:t>AR 25-2 section 4-19(c) specifies a system-tailored incident response plan. DA Pam 25-2-17 provides Army reporting context. This draft does not establish new reporting deadlines.</w:t>
      </w:r>
    </w:p>
    <w:p>
      <w:r>
        <w:t>Control identifiers are navigation aids, not a determination that every cited control or enhancement applies. Map the approved system baseline and assessment objectives to the evidence actually produced. Current command orders, AO conditions, and assigned parameters must be incorporated before use.</w:t>
      </w:r>
    </w:p>
    <w:p>
      <w:pPr>
        <w:pStyle w:val="Heading2"/>
      </w:pPr>
      <w:r>
        <w:t>Approval record</w:t>
      </w:r>
    </w:p>
    <w:p>
      <w:r>
        <w:t>Prepared by [name / role / date]. Technical review [name / date]. Mission or service-provider coordination [name / date]. Approved by [authorized role / signature / date]. Next review [date or event].</w:t>
      </w:r>
    </w:p>
    <w:p>
      <w:pPr>
        <w:pStyle w:val="Heading2"/>
      </w:pPr>
      <w:r>
        <w:t>Source references</w:t>
      </w:r>
    </w:p>
    <w:p>
      <w:r>
        <w:rPr>
          <w:sz w:val="18"/>
        </w:rPr>
        <w:t>AR 25-2 Army Cybersecurity 4 April 2019</w:t>
        <w:br/>
        <w:t>https://armypubs.army.mil/epubs/DR_pubs/DR_a/ARN37506-AR_25-2-003-WEB-4.pdf</w:t>
      </w:r>
    </w:p>
    <w:p>
      <w:r>
        <w:rPr>
          <w:sz w:val="18"/>
        </w:rPr>
        <w:t>DA Pam 25-2-17 Incident Reporting 8 April 2019</w:t>
        <w:br/>
        <w:t>https://armypubs.army.mil/epubs/DR_pubs/DR_a/ARN36786-PAM_25-2-17-001-WEB-1.pdf</w:t>
      </w:r>
    </w:p>
    <w:p>
      <w:r>
        <w:rPr>
          <w:sz w:val="18"/>
        </w:rPr>
        <w:t>NIST SP 800-61 Rev 3 April 2025</w:t>
        <w:br/>
        <w:t>https://csrc.nist.gov/pubs/sp/800/61/r3/final</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Draft v0.1  •  28 October 2026  |  System template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CYBERSECURITY CENTER OF EXCELLENCE  |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