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Contingency and Recovery Plan</w:t>
      </w:r>
    </w:p>
    <w:p>
      <w:r>
        <w:t>This plan directs restoration of [system] after disruption. It translates the approved business impact analysis into executable recovery actions and identifies how security safeguards will be restored with the mission service.</w:t>
      </w:r>
    </w:p>
    <w:p>
      <w:pPr>
        <w:pStyle w:val="Heading2"/>
      </w:pPr>
      <w:r>
        <w:t>How to tailor this draft</w:t>
      </w:r>
    </w:p>
    <w:p>
      <w:r>
        <w:t>Replace every bracketed field. The operating language below is a proposed local approach, not an approved Army policy. Validate it against the assigned control baseline, overlays, authorization conditions, current command guidance, and contractual responsibilities. Remove drafting instructions before approval. Do not change a mandated deadline to match an illustrative local target.</w:t>
      </w:r>
    </w:p>
    <w:p>
      <w:r>
        <w:t>Use enterprise plans by reference where they apply, but identify the provider, document version, inherited service, local tasks, and evidence of coverage. Record a reason and approving role for any section treated as not applicable. Keep the SSP and POA&amp;M in the designated RMF tool; link to them rather than reproducing them here.</w:t>
      </w:r>
    </w:p>
    <w:p>
      <w:pPr>
        <w:pStyle w:val="Heading2"/>
      </w:pPr>
      <w:r>
        <w:t>System and document control</w:t>
      </w:r>
    </w:p>
    <w:tbl>
      <w:tblPr>
        <w:tblW w:type="auto" w:w="0"/>
        <w:tblLayout w:type="fixed"/>
        <w:tblLook w:firstColumn="1" w:firstRow="1" w:lastColumn="0" w:lastRow="0" w:noHBand="0" w:noVBand="1" w:val="04A0"/>
      </w:tblPr>
      <w:tblGrid>
        <w:gridCol w:w="2952"/>
        <w:gridCol w:w="6984"/>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Field</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Complete for this system</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System name and RMF record</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[Name / acronym / record ID / boundary version]</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Scope and operating modes</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[Production / training / alternate site / platforms / exclusions]</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Owner and custodian</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[System owner / ISSM or ISSO / document custodian]</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Approval and effective date</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[Approving role / name / signature / date]</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Review and distribution</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[Review interval / event triggers / repository / authorized recipients]</w:t>
            </w:r>
          </w:p>
        </w:tc>
      </w:tr>
    </w:tbl>
    <w:p/>
    <w:p>
      <w:pPr>
        <w:pStyle w:val="Heading2"/>
      </w:pPr>
      <w:r>
        <w:t>Local decisions to record</w:t>
      </w:r>
    </w:p>
    <w:p>
      <w:r>
        <w:t>Approval of this document: [role]. Authority for operational actions: [role and limits]. Residual risk acceptance: [authorized Government official]. Completed-document handling and marking: [determination under applicable guidance]. A blank public template does not establish the handling rules for a populated system artifact.</w:t>
      </w:r>
    </w:p>
    <w:p>
      <w:r>
        <w:br w:type="page"/>
      </w:r>
    </w:p>
    <w:p>
      <w:pPr>
        <w:pStyle w:val="Heading1"/>
      </w:pPr>
      <w:r>
        <w:t>Operating procedures</w:t>
      </w:r>
    </w:p>
    <w:p>
      <w:pPr>
        <w:pStyle w:val="Heading2"/>
      </w:pPr>
      <w:r>
        <w:t>Activation and assessment</w:t>
      </w:r>
    </w:p>
    <w:p>
      <w:r>
        <w:t>[Recovery coordinator] assesses the outage, safety constraints, estimated duration, affected mission services, and availability of backups. Activate this plan when [measurable trigger] is reached or when [authority] directs. Record the activation decision and notify [mission owners, CSSP, hosting provider]. If malicious activity is suspected, coordinate with the incident lead before changing affected assets or selecting recovery data.</w:t>
      </w:r>
    </w:p>
    <w:p>
      <w:pPr>
        <w:pStyle w:val="Heading2"/>
      </w:pPr>
      <w:r>
        <w:t>Restore in dependency order</w:t>
      </w:r>
    </w:p>
    <w:p>
      <w:r>
        <w:t>Use the approved dependency sequence: [facilities and connectivity], [identity and name services], [platform and storage], [applications], and [mission data], adapted to the actual architecture. Assign an owner and validation step to each dependency. Identify alternate capacity, licenses, encryption key recovery arrangements, and administrative access through approved secure references. Do not place passwords or recovery secrets in this plan.</w:t>
      </w:r>
    </w:p>
    <w:p>
      <w:pPr>
        <w:pStyle w:val="Heading2"/>
      </w:pPr>
      <w:r>
        <w:t>Backup and restoration execution</w:t>
      </w:r>
    </w:p>
    <w:p>
      <w:r>
        <w:t>For each service, identify backup source, frequency, retention, isolation protections, last successful restore test, restoration destination, and accountable administrator. Select a recovery point consistent with the incident assessment and approved recovery point objective. Record elapsed time, data age, errors, configuration differences, and actions taken. If the approved target cannot be achieved, escalate the measured gap and mission consequences to [authority].</w:t>
      </w:r>
    </w:p>
    <w:p>
      <w:pPr>
        <w:pStyle w:val="Heading2"/>
      </w:pPr>
      <w:r>
        <w:t>Reconstitution and return to service</w:t>
      </w:r>
    </w:p>
    <w:p>
      <w:r>
        <w:t>Validate application functions, data integrity, access controls, security monitoring, logging, and required hardening before returning to normal service. [Mission owner] accepts mission functionality; [security lead] confirms security checks; [designated authority] authorizes the transition. Reconcile data generated during manual or alternate operations, retire temporary access, and retain restoration evidence.</w:t>
      </w:r>
    </w:p>
    <w:p>
      <w:r>
        <w:br w:type="page"/>
      </w:r>
    </w:p>
    <w:p>
      <w:pPr>
        <w:pStyle w:val="Heading1"/>
      </w:pPr>
      <w:r>
        <w:t>System records and exercise worksheet</w:t>
      </w:r>
    </w:p>
    <w:p>
      <w:r>
        <w:t>Complete the records below and expand them for the actual system. Link to authoritative records where they already exist; retain enough local detail to execute the procedure during a tool or network outage.</w:t>
      </w:r>
    </w:p>
    <w:tbl>
      <w:tblPr>
        <w:tblW w:type="auto" w:w="0"/>
        <w:tblLayout w:type="fixed"/>
        <w:tblLook w:firstColumn="1" w:firstRow="1" w:lastColumn="0" w:lastRow="0" w:noHBand="0" w:noVBand="1" w:val="04A0"/>
      </w:tblPr>
      <w:tblGrid>
        <w:gridCol w:w="2880"/>
        <w:gridCol w:w="3672"/>
        <w:gridCol w:w="3384"/>
      </w:tblGrid>
      <w:tr>
        <w:trPr>
          <w:cantSplit/>
          <w:tblHeader/>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Recovery step</w:t>
            </w:r>
          </w:p>
        </w:tc>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Owner and prerequisite</w:t>
            </w:r>
          </w:p>
        </w:tc>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Pass evidence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[Dependency service]</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[Role / prerequisite / runbook]</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[Validation / evidence link]</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[Platform restoration]</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[Role / approved baseline]</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[Configuration and log checks]</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[Application and data]</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[Role / recovery point]</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[Integrity and mission tests]</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[Return to operations]</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[Authority / outstanding issues]</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[Recorded decision / timestamp]</w:t>
            </w:r>
          </w:p>
        </w:tc>
      </w:tr>
    </w:tbl>
    <w:p/>
    <w:p>
      <w:pPr>
        <w:pStyle w:val="Heading2"/>
      </w:pPr>
      <w:r>
        <w:t>Exercise or walkthrough</w:t>
      </w:r>
    </w:p>
    <w:p>
      <w:r>
        <w:t>Exercise loss of the primary hosting environment while a recent backup is unusable. Restore a representative service from an alternate valid recovery point. Compare demonstrated recovery time and data loss with BIA objectives. Record any mission workaround that cannot be sustained for the required duration.</w:t>
      </w:r>
    </w:p>
    <w:tbl>
      <w:tblPr>
        <w:tblW w:type="auto" w:w="0"/>
        <w:tblLayout w:type="fixed"/>
        <w:tblLook w:firstColumn="1" w:firstRow="1" w:lastColumn="0" w:lastRow="0" w:noHBand="0" w:noVBand="1" w:val="04A0"/>
      </w:tblPr>
      <w:tblGrid>
        <w:gridCol w:w="2880"/>
        <w:gridCol w:w="7056"/>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Exercise record</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System entry</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Date and participants</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[Date / roles / facilitator]</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Observed result</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[Expected versus actual / evidence]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Decision or gap</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[Issue / accountable owner / due date]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Follow through</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[Tracking record / retest date / closure evidence]</w:t>
            </w:r>
          </w:p>
        </w:tc>
      </w:tr>
    </w:tbl>
    <w:p/>
    <w:p>
      <w:r>
        <w:br w:type="page"/>
      </w:r>
    </w:p>
    <w:p>
      <w:pPr>
        <w:pStyle w:val="Heading1"/>
      </w:pPr>
      <w:r>
        <w:t>Completion and approval checks</w:t>
      </w:r>
    </w:p>
    <w:p>
      <w:r>
        <w:t>☐ Cross-reference the approved BIA and resolve inconsistent recovery priorities.</w:t>
      </w:r>
    </w:p>
    <w:p>
      <w:r>
        <w:t>☐ Demonstrate a restore rather than relying only on successful backup-job status.</w:t>
      </w:r>
    </w:p>
    <w:p>
      <w:r>
        <w:t>☐ Identify provider dependencies and document evidence that recovery commitments are achievable.</w:t>
      </w:r>
    </w:p>
    <w:p>
      <w:r>
        <w:t>☐ Validate security controls before normal service resumes.</w:t>
      </w:r>
    </w:p>
    <w:p>
      <w:pPr>
        <w:pStyle w:val="Heading2"/>
      </w:pPr>
      <w:r>
        <w:t>Control mapping for tailoring</w:t>
      </w:r>
    </w:p>
    <w:p>
      <w:r>
        <w:t>CP-2, CP-4, CP-6 through CP-10 as selected; IR-4 coordination.</w:t>
      </w:r>
    </w:p>
    <w:p>
      <w:pPr>
        <w:pStyle w:val="Heading2"/>
      </w:pPr>
      <w:r>
        <w:t>Applicability and source basis</w:t>
      </w:r>
    </w:p>
    <w:p>
      <w:r>
        <w:t>AR 25-2 section 4-4(b) calls for a unique Army system contingency plan grounded in a BIA. Organization COOP and hosting plans remain referenced dependencies.</w:t>
      </w:r>
    </w:p>
    <w:p>
      <w:r>
        <w:t>Control identifiers are navigation aids, not a determination that every cited control or enhancement applies. Map the approved system baseline and assessment objectives to the evidence actually produced. Current command orders, AO conditions, and assigned parameters must be incorporated before use.</w:t>
      </w:r>
    </w:p>
    <w:p>
      <w:pPr>
        <w:pStyle w:val="Heading2"/>
      </w:pPr>
      <w:r>
        <w:t>Approval record</w:t>
      </w:r>
    </w:p>
    <w:p>
      <w:r>
        <w:t>Prepared by [name / role / date]. Technical review [name / date]. Mission or service-provider coordination [name / date]. Approved by [authorized role / signature / date]. Next review [date or event].</w:t>
      </w:r>
    </w:p>
    <w:p>
      <w:pPr>
        <w:pStyle w:val="Heading2"/>
      </w:pPr>
      <w:r>
        <w:t>Source references</w:t>
      </w:r>
    </w:p>
    <w:p>
      <w:r>
        <w:rPr>
          <w:sz w:val="18"/>
        </w:rPr>
        <w:t>AR 25-2 Army Cybersecurity 4 April 2019</w:t>
        <w:br/>
        <w:t>https://armypubs.army.mil/epubs/DR_pubs/DR_a/ARN37506-AR_25-2-003-WEB-4.pdf</w:t>
      </w:r>
    </w:p>
    <w:p>
      <w:r>
        <w:rPr>
          <w:sz w:val="18"/>
        </w:rPr>
        <w:t>NIST SP 800-34 Rev 1 including BIA and contingency templates</w:t>
        <w:br/>
        <w:t>https://csrc.nist.gov/pubs/sp/800/34/r1/upd1/final</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Draft v0.1  •  28 October 2026  |  System template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CYBERSECURITY CENTER OF EXCELLENCE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