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Impact Analysis Worksheet</w:t>
      </w:r>
    </w:p>
    <w:p>
      <w:r>
        <w:t>This worksheet captures mission-owner decisions about disruption consequences and recovery priorities for [system]. It supplies the rationale for the system contingency plan and exposes recovery objectives that existing resources cannot meet.</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[Mission functions / system boundary / stakeholders / analysis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Collect mission evidence</w:t>
      </w:r>
    </w:p>
    <w:p>
      <w:r>
        <w:t>Interview [mission owners] and identify the activities that depend on the system. For each activity, record peak demand periods, downstream users, manual alternatives, legal or operational constraints, and effects of inaccurate data. Use mission consequences to justify priority; system size or acquisition cost alone does not establish criticality.</w:t>
      </w:r>
    </w:p>
    <w:p>
      <w:pPr>
        <w:pStyle w:val="Heading2"/>
      </w:pPr>
      <w:r>
        <w:t>Evaluate disruption over time</w:t>
      </w:r>
    </w:p>
    <w:p>
      <w:r>
        <w:t>Describe the consequences at [locally relevant time bands], including lost training events, unavailable threat representation, disrupted testing, safety effects, or delayed mission decisions where applicable. Record evidence and assumptions behind each consequence. Distinguish an unavailable service from one producing untrustworthy data; recovery may require reconciliation as well as restoration.</w:t>
      </w:r>
    </w:p>
    <w:p>
      <w:pPr>
        <w:pStyle w:val="Heading2"/>
      </w:pPr>
      <w:r>
        <w:t>Set and validate recovery objectives</w:t>
      </w:r>
    </w:p>
    <w:p>
      <w:r>
        <w:t>Maximum tolerable downtime is the total disruption the mission can withstand. Recovery time objective is the target elapsed time to restore the specified service level. Recovery point objective is the acceptable age of recovered data. Set units and starting events explicitly. Leave time for validation and resumption within the tolerable outage window. Compare each objective with demonstrated provider and system capabilities.</w:t>
      </w:r>
    </w:p>
    <w:p>
      <w:pPr>
        <w:pStyle w:val="Heading2"/>
      </w:pPr>
      <w:r>
        <w:t>Resolve dependencies and approve</w:t>
      </w:r>
    </w:p>
    <w:p>
      <w:r>
        <w:t>Identify required identity, network, storage, licensing, vendor, personnel, and facility services. Determine whether their recovery order supports the proposed system priority. Record capability gaps, their mission effect, and the decision owner in the existing risk process. [Mission owner] approves the impact analysis; [system owner] acknowledges the recovery dependencies and resource implications.</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Mission function</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Impact and tolerance</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Recovery objectives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[Function / owner]</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[Impact by time / maximum tolerable downtime]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[RTO / RPO / units]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[Function / owner]</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[Peak period / manual workaround limit]</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[RTO / RPO / rationale]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[Function / owner]</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[Data integrity or safety consequence]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[Validation and resumption time]</w:t>
            </w:r>
          </w:p>
        </w:tc>
      </w:tr>
    </w:tbl>
    <w:p/>
    <w:p>
      <w:pPr>
        <w:pStyle w:val="Heading2"/>
      </w:pPr>
      <w:r>
        <w:t>Exercise or walkthrough</w:t>
      </w:r>
    </w:p>
    <w:p>
      <w:r>
        <w:t>Illustrative only: a service tolerates a 12-hour outage, restoration is targeted at 8 hours, and validation plus mission resumption needs 2 hours. The remaining 2 hours is margin, not an automatic policy allowance. Replace these numbers with mission-owner decisions. A backup schedule alone is not proof that the recovery point objective can be met.</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Obtain mission-owner input and approval rather than only technical-team estimates.</w:t>
      </w:r>
    </w:p>
    <w:p>
      <w:r>
        <w:t>☐ Use explicit units and start events for every time objective.</w:t>
      </w:r>
    </w:p>
    <w:p>
      <w:r>
        <w:t>☐ Check restoration plus validation and resumption against tolerable downtime.</w:t>
      </w:r>
    </w:p>
    <w:p>
      <w:r>
        <w:t>☐ Record unresolved capability gaps and reference the contingency plan.</w:t>
      </w:r>
    </w:p>
    <w:p>
      <w:pPr>
        <w:pStyle w:val="Heading2"/>
      </w:pPr>
      <w:r>
        <w:t>Control mapping for tailoring</w:t>
      </w:r>
    </w:p>
    <w:p>
      <w:r>
        <w:t>CP-2 and related recovery controls. This worksheet supports planning and is not a separate security categorization determination.</w:t>
      </w:r>
    </w:p>
    <w:p>
      <w:pPr>
        <w:pStyle w:val="Heading2"/>
      </w:pPr>
      <w:r>
        <w:t>Applicability and source basis</w:t>
      </w:r>
    </w:p>
    <w:p>
      <w:r>
        <w:t>AR 25-2 section 4-4(b)(1) describes the BIA basis for contingency planning. NIST SP 800-34 supplies public BIA and contingency planning resources.</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AR 25-2 Army Cybersecurity 4 April 2019</w:t>
        <w:br/>
        <w:t>https://armypubs.army.mil/epubs/DR_pubs/DR_a/ARN37506-AR_25-2-003-WEB-4.pdf</w:t>
      </w:r>
    </w:p>
    <w:p>
      <w:r>
        <w:rPr>
          <w:sz w:val="18"/>
        </w:rPr>
        <w:t>NIST SP 800-34 Rev 1 including BIA and contingency templates</w:t>
        <w:br/>
        <w:t>https://csrc.nist.gov/pubs/sp/800/34/r1/upd1/final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