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Configuration Management Plan</w:t>
      </w:r>
    </w:p>
    <w:p>
      <w:r>
        <w:t>This plan controls the approved hardware, software, firmware, interfaces, and security settings of [system]. It provides a repeatable path from proposed change to verified baseline without duplicating the asset inventory or technical checklists.</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[Components / lifecycle stages / deployment variants / configuration repository]</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Establish and identify the baseline</w:t>
      </w:r>
    </w:p>
    <w:p>
      <w:r>
        <w:t>[Configuration manager] records the baseline identifier, component inventory reference, software and firmware versions, applicable STIG or SRG versions, approved settings, interface definitions, and authorized deviations. Retain the authoritative inventory and checklists in [repository]. Use a baseline snapshot that can be associated with each deployed configuration and release.</w:t>
      </w:r>
    </w:p>
    <w:p>
      <w:pPr>
        <w:pStyle w:val="Heading2"/>
      </w:pPr>
      <w:r>
        <w:t>Evaluate proposed changes</w:t>
      </w:r>
    </w:p>
    <w:p>
      <w:r>
        <w:t>The requester records the reason, affected components and interfaces, mission impact, security impact, test evidence, rollback method, and implementation window. [Security lead] assesses whether control implementation, data flows, trust boundaries, categorization, or authorization conditions change. Escalate authorization implications through the designated RMF authority; a configuration board decision does not itself grant operating authorization.</w:t>
      </w:r>
    </w:p>
    <w:p>
      <w:pPr>
        <w:pStyle w:val="Heading2"/>
      </w:pPr>
      <w:r>
        <w:t>Approve and implement</w:t>
      </w:r>
    </w:p>
    <w:p>
      <w:r>
        <w:t>[CCB authority] approves, rejects, or returns the change with recorded conditions. [Implementer] deploys only the approved version in the approved window and records actual results. Emergency changes follow [authorized expedited route] with a documented decision before implementation where feasible, followed by review within [approved period]. Do not use emergency status as permanent exception approval.</w:t>
      </w:r>
    </w:p>
    <w:p>
      <w:pPr>
        <w:pStyle w:val="Heading2"/>
      </w:pPr>
      <w:r>
        <w:t>Verify and reconcile</w:t>
      </w:r>
    </w:p>
    <w:p>
      <w:r>
        <w:t>[Independent reviewer or designated verifier] confirms the change against the approved request and validates security settings, mission tests, inventory updates, and rollback readiness. Reconcile detected drift with change records at [frequency]. Unapproved changes trigger investigation, correction, and incident coordination where appropriate. Update the SSP implementation evidence when controls or inherited dependencies change.</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Change record</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Required entry</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Decision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Request and impact</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[ID / baseline / assets / security analysis]</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[Reviewer /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testing</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[CCB decision / test and rollback references]</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[Conditions / authority]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Deployment and verification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[Version / window / actual result]</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[Verifier / evidence link]</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Exception or drift</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[Rationale / compensating measure / expiry]</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[Authorized disposition]</w:t>
            </w:r>
          </w:p>
        </w:tc>
      </w:tr>
    </w:tbl>
    <w:p/>
    <w:p>
      <w:pPr>
        <w:pStyle w:val="Heading2"/>
      </w:pPr>
      <w:r>
        <w:t>Exercise or walkthrough</w:t>
      </w:r>
    </w:p>
    <w:p>
      <w:r>
        <w:t>Walk through an operating-system update that changes an authentication setting and a network port. Trace the request to security impact analysis, approval, test results, inventory changes, and verification. Separately walk through an emergency rollback and confirm that its resulting configuration is recorded.</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Identify each baseline by version and deployment scope.</w:t>
      </w:r>
    </w:p>
    <w:p>
      <w:r>
        <w:t>☐ Document security impact review before approval.</w:t>
      </w:r>
    </w:p>
    <w:p>
      <w:r>
        <w:t>☐ Keep deviations time-bounded and linked to authorized decisions.</w:t>
      </w:r>
    </w:p>
    <w:p>
      <w:r>
        <w:t>☐ Show that deployed configurations agree with inventory and assessment evidence.</w:t>
      </w:r>
    </w:p>
    <w:p>
      <w:pPr>
        <w:pStyle w:val="Heading2"/>
      </w:pPr>
      <w:r>
        <w:t>Control mapping for tailoring</w:t>
      </w:r>
    </w:p>
    <w:p>
      <w:r>
        <w:t>CM-2, CM-3, CM-4, CM-6, CM-8, CM-9 as selected.</w:t>
      </w:r>
    </w:p>
    <w:p>
      <w:pPr>
        <w:pStyle w:val="Heading2"/>
      </w:pPr>
      <w:r>
        <w:t>Applicability and source basis</w:t>
      </w:r>
    </w:p>
    <w:p>
      <w:r>
        <w:t>NIST SP 800-37 lists configuration management plans as supporting material. DA Pam 25-2-14 section 4-9 addresses CCB review and baseline control.</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NIST SP 800-37 Rev 2 Appendix F</w:t>
        <w:br/>
        <w:t>https://csrc.nist.gov/pubs/sp/800/37/r2/final</w:t>
      </w:r>
    </w:p>
    <w:p>
      <w:r>
        <w:rPr>
          <w:sz w:val="18"/>
        </w:rPr>
        <w:t>DA Pam 25-2-14 RMF for Army IT 8 April 2019</w:t>
        <w:br/>
        <w:t>https://armypubs.army.mil/epubs/DR_pubs/DR_a/ARN36811-PAM_25-2-14-001-WEB-3.pdf</w:t>
      </w:r>
    </w:p>
    <w:p>
      <w:r>
        <w:rPr>
          <w:sz w:val="18"/>
        </w:rPr>
        <w:t>NIST SP 800-128 Security Focused Configuration Management</w:t>
        <w:br/>
        <w:t>https://csrc.nist.gov/pubs/sp/800/128/upd1/final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