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Continuous Monitoring Plan</w:t>
      </w:r>
    </w:p>
    <w:p>
      <w:r>
        <w:t>This plan defines the observations, assessments, and reporting that keep [system] security information current between authorization decisions. It connects enterprise monitoring services with the local evidence and decisions the system owner must maintain.</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[Boundary / inherited controls / hosting and CSSP coverage / disconnected modes]</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Define monitoring coverage</w:t>
      </w:r>
    </w:p>
    <w:p>
      <w:r>
        <w:t>[ISSM] creates a schedule for selected controls, vulnerabilities, configuration changes, inventories, identities, logging coverage, and provider assurance. For each item, assign an owner, method, frequency, event trigger, source, and recipient. Automated telemetry does not by itself demonstrate the effectiveness of procedural controls; identify interviews, demonstrations, or record reviews where needed.</w:t>
      </w:r>
    </w:p>
    <w:p>
      <w:pPr>
        <w:pStyle w:val="Heading2"/>
      </w:pPr>
      <w:r>
        <w:t>Set risk based frequencies</w:t>
      </w:r>
    </w:p>
    <w:p>
      <w:r>
        <w:t>Use the approved control parameters, enterprise strategy, threat information, change rate, mission criticality, and authorization conditions to set intervals. Record the source for mandated frequencies. Monitor after material changes and significant incidents even when a routine review is not due. For disconnected systems, define local collection, secure transfer, maximum reporting delay, and the person accountable for reconciliation.</w:t>
      </w:r>
    </w:p>
    <w:p>
      <w:pPr>
        <w:pStyle w:val="Heading2"/>
      </w:pPr>
      <w:r>
        <w:t>Assess and report</w:t>
      </w:r>
    </w:p>
    <w:p>
      <w:r>
        <w:t>[Analyst] checks data completeness before reporting posture. Show numerator, denominator, age, and excluded population for each metric. Distinguish compliant, noncompliant, unknown, and not applicable states. Report inherited-control changes and provider outages that affect the system. [System owner] reviews trends and directs corrective work; only the designated Government authority accepts residual risk.</w:t>
      </w:r>
    </w:p>
    <w:p>
      <w:pPr>
        <w:pStyle w:val="Heading2"/>
      </w:pPr>
      <w:r>
        <w:t>Maintain authorization evidence</w:t>
      </w:r>
    </w:p>
    <w:p>
      <w:r>
        <w:t>Update implementation narratives and evidence links in [RMF tool] after validated changes. Maintain findings and corrective actions in the existing POA&amp;M workflow rather than a competing tracker. Trigger an authorization-impact review when [approved significant-change criteria] occur. Preserve the chain from observation to finding, action, verification, and closure.</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Monitored item</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Schedule and trigger</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Evidence and owner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Controls and inheritance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[Interval / provider change]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[Assessment / provider report / role]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Vulnerability and patch posture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[Interval / urgent directive]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[Coverage / age / verification / role]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Configuration and inventory</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[Interval / change event]</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[Drift and inventory reconciliation]</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Identity and logging coverage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[Interval / staffing or interface change]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[Access review / telemetry health]</w:t>
            </w:r>
          </w:p>
        </w:tc>
      </w:tr>
    </w:tbl>
    <w:p/>
    <w:p>
      <w:pPr>
        <w:pStyle w:val="Heading2"/>
      </w:pPr>
      <w:r>
        <w:t>Exercise or walkthrough</w:t>
      </w:r>
    </w:p>
    <w:p>
      <w:r>
        <w:t>Use one reporting cycle to trace an uncovered asset from discovery through scan scheduling, finding assignment, remediation, and verified closure. Show how the dashboard represents the asset before it has been scanned; do not count missing data as compliant.</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Every metric has a defined population and an owner.</w:t>
      </w:r>
    </w:p>
    <w:p>
      <w:r>
        <w:t>☐ Frequencies match approved parameters and current orders.</w:t>
      </w:r>
    </w:p>
    <w:p>
      <w:r>
        <w:t>☐ Enterprise coverage is evidenced, not merely asserted.</w:t>
      </w:r>
    </w:p>
    <w:p>
      <w:r>
        <w:t>☐ The tool records preserve findings and closure evidence without duplicate POA&amp;Ms.</w:t>
      </w:r>
    </w:p>
    <w:p>
      <w:pPr>
        <w:pStyle w:val="Heading2"/>
      </w:pPr>
      <w:r>
        <w:t>Control mapping for tailoring</w:t>
      </w:r>
    </w:p>
    <w:p>
      <w:r>
        <w:t>CA-7, CA-2, RA-5, SI-4 and related selected controls.</w:t>
      </w:r>
    </w:p>
    <w:p>
      <w:pPr>
        <w:pStyle w:val="Heading2"/>
      </w:pPr>
      <w:r>
        <w:t>Applicability and source basis</w:t>
      </w:r>
    </w:p>
    <w:p>
      <w:r>
        <w:t>DA Pam 25-2-14 section 4-8 addresses monitoring and adoption of NIST SP 800-137. NIST SP 800-37 identifies a system-level monitoring strategy as supporting SSP material.</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DA Pam 25-2-14 RMF for Army IT 8 April 2019</w:t>
        <w:br/>
        <w:t>https://armypubs.army.mil/epubs/DR_pubs/DR_a/ARN36811-PAM_25-2-14-001-WEB-3.pdf</w:t>
      </w:r>
    </w:p>
    <w:p>
      <w:r>
        <w:rPr>
          <w:sz w:val="18"/>
        </w:rPr>
        <w:t>NIST SP 800-137 Information Security Continuous Monitoring</w:t>
        <w:br/>
        <w:t>https://csrc.nist.gov/pubs/sp/800/137/final</w:t>
      </w:r>
    </w:p>
    <w:p>
      <w:r>
        <w:rPr>
          <w:sz w:val="18"/>
        </w:rPr>
        <w:t>NIST SP 800-37 Rev 2 Appendix F</w:t>
        <w:br/>
        <w:t>https://csrc.nist.gov/pubs/sp/800/37/r2/final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