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Vulnerability and Patch Management Plan</w:t>
      </w:r>
    </w:p>
    <w:p>
      <w:r>
        <w:t>This plan joins discovery, prioritization, remediation, patch deployment, and verification for [system]. It retains separate responsibilities for identifying risk and safely implementing changes, including cases where a patch is unavailable or unsafe to deploy immediately.</w:t>
      </w:r>
    </w:p>
    <w:p>
      <w:pPr>
        <w:pStyle w:val="Heading2"/>
      </w:pPr>
      <w:r>
        <w:t>How to tailor this draft</w:t>
      </w:r>
    </w:p>
    <w:p>
      <w:r>
        <w:t>Replace every bracketed field. The operating language below is a proposed local approach, not an approved Army policy. Validate it against the assigned control baseline, overlays, authorization conditions, current command guidance, and contractual responsibilities. Remove drafting instructions before approval. Do not change a mandated deadline to match an illustrative local target.</w:t>
      </w:r>
    </w:p>
    <w:p>
      <w:r>
        <w:t>Use enterprise plans by reference where they apply, but identify the provider, document version, inherited service, local tasks, and evidence of coverage. Record a reason and approving role for any section treated as not applicable. Keep the SSP and POA&amp;M in the designated RMF tool; link to them rather than reproducing them here.</w:t>
      </w:r>
    </w:p>
    <w:p>
      <w:pPr>
        <w:pStyle w:val="Heading2"/>
      </w:pPr>
      <w:r>
        <w:t>System and document control</w:t>
      </w:r>
    </w:p>
    <w:tbl>
      <w:tblPr>
        <w:tblW w:type="auto" w:w="0"/>
        <w:tblLayout w:type="fixed"/>
        <w:tblLook w:firstColumn="1" w:firstRow="1" w:lastColumn="0" w:lastRow="0" w:noHBand="0" w:noVBand="1" w:val="04A0"/>
      </w:tblPr>
      <w:tblGrid>
        <w:gridCol w:w="2952"/>
        <w:gridCol w:w="6984"/>
      </w:tblGrid>
      <w:tr>
        <w:trPr>
          <w:cantSplit/>
          <w:tblHeader/>
        </w:trPr>
        <w:tc>
          <w:tcPr>
            <w:tcW w:type="dxa" w:w="4968"/>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60" w:before="20"/>
            </w:pPr>
            <w:r>
              <w:rPr>
                <w:b/>
                <w:sz w:val="20"/>
              </w:rPr>
              <w:t>Field</w:t>
            </w:r>
          </w:p>
        </w:tc>
        <w:tc>
          <w:tcPr>
            <w:tcW w:type="dxa" w:w="4968"/>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60" w:before="20"/>
            </w:pPr>
            <w:r>
              <w:rPr>
                <w:b/>
                <w:sz w:val="20"/>
              </w:rPr>
              <w:t>Complete for this system</w:t>
            </w:r>
          </w:p>
        </w:tc>
      </w:tr>
      <w:tr>
        <w:trPr>
          <w:cantSplit/>
        </w:trPr>
        <w:tc>
          <w:tcPr>
            <w:tcW w:type="dxa" w:w="295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System name and RMF record</w:t>
            </w:r>
          </w:p>
        </w:tc>
        <w:tc>
          <w:tcPr>
            <w:tcW w:type="dxa" w:w="698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[Name / acronym / record ID / boundary version]</w:t>
            </w:r>
          </w:p>
        </w:tc>
      </w:tr>
      <w:tr>
        <w:trPr>
          <w:cantSplit/>
        </w:trPr>
        <w:tc>
          <w:tcPr>
            <w:tcW w:type="dxa" w:w="295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Scope and operating modes</w:t>
            </w:r>
          </w:p>
        </w:tc>
        <w:tc>
          <w:tcPr>
            <w:tcW w:type="dxa" w:w="698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[Hardware / software / firmware / applications / OT or training equipment / suppliers]</w:t>
            </w:r>
          </w:p>
        </w:tc>
      </w:tr>
      <w:tr>
        <w:trPr>
          <w:cantSplit/>
        </w:trPr>
        <w:tc>
          <w:tcPr>
            <w:tcW w:type="dxa" w:w="295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Owner and custodian</w:t>
            </w:r>
          </w:p>
        </w:tc>
        <w:tc>
          <w:tcPr>
            <w:tcW w:type="dxa" w:w="698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[System owner / ISSM or ISSO / document custodian]</w:t>
            </w:r>
          </w:p>
        </w:tc>
      </w:tr>
      <w:tr>
        <w:trPr>
          <w:cantSplit/>
        </w:trPr>
        <w:tc>
          <w:tcPr>
            <w:tcW w:type="dxa" w:w="295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Approval and effective date</w:t>
            </w:r>
          </w:p>
        </w:tc>
        <w:tc>
          <w:tcPr>
            <w:tcW w:type="dxa" w:w="698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[Approving role / name / signature / date]</w:t>
            </w:r>
          </w:p>
        </w:tc>
      </w:tr>
      <w:tr>
        <w:trPr>
          <w:cantSplit/>
        </w:trPr>
        <w:tc>
          <w:tcPr>
            <w:tcW w:type="dxa" w:w="295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Review and distribution</w:t>
            </w:r>
          </w:p>
        </w:tc>
        <w:tc>
          <w:tcPr>
            <w:tcW w:type="dxa" w:w="698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[Review interval / event triggers / repository / authorized recipients]</w:t>
            </w:r>
          </w:p>
        </w:tc>
      </w:tr>
    </w:tbl>
    <w:p/>
    <w:p>
      <w:pPr>
        <w:pStyle w:val="Heading2"/>
      </w:pPr>
      <w:r>
        <w:t>Local decisions to record</w:t>
      </w:r>
    </w:p>
    <w:p>
      <w:r>
        <w:t>Approval of this document: [role]. Authority for operational actions: [role and limits]. Residual risk acceptance: [authorized Government official]. Completed-document handling and marking: [determination under applicable guidance]. A blank public template does not establish the handling rules for a populated system artifact.</w:t>
      </w:r>
    </w:p>
    <w:p>
      <w:r>
        <w:br w:type="page"/>
      </w:r>
    </w:p>
    <w:p>
      <w:pPr>
        <w:pStyle w:val="Heading1"/>
      </w:pPr>
      <w:r>
        <w:t>Operating procedures</w:t>
      </w:r>
    </w:p>
    <w:p>
      <w:pPr>
        <w:pStyle w:val="Heading2"/>
      </w:pPr>
      <w:r>
        <w:t>Discover and establish coverage</w:t>
      </w:r>
    </w:p>
    <w:p>
      <w:r>
        <w:t>[Vulnerability lead] reconciles scanner targets with the authoritative inventory and documents credentialed coverage, unreachable assets, unsupported components, exclusions, and last successful assessment. Define safe assessment methods for fragile or mission-sensitive equipment with engineering and operations staff. Track vendor advisories, IAVM notices, exploit information, and relevant dependencies in addition to routine scans.</w:t>
      </w:r>
    </w:p>
    <w:p>
      <w:pPr>
        <w:pStyle w:val="Heading2"/>
      </w:pPr>
      <w:r>
        <w:t>Prioritize and assign</w:t>
      </w:r>
    </w:p>
    <w:p>
      <w:r>
        <w:t>Validate applicability and false-positive claims with evidence. Prioritize by applicable directive, exposure, exploit activity, mission consequence, and severity. Record each required deadline and its source; CVSS alone does not establish operational priority. Assign one accountable owner and link the finding to the existing RMF or remediation record. An asset excluded from scanning remains visible as a coverage gap.</w:t>
      </w:r>
    </w:p>
    <w:p>
      <w:pPr>
        <w:pStyle w:val="Heading2"/>
      </w:pPr>
      <w:r>
        <w:t>Test and deploy</w:t>
      </w:r>
    </w:p>
    <w:p>
      <w:r>
        <w:t>[Patch lead] verifies vendor origin and package integrity, evaluates dependencies, tests in a representative environment, and documents mission and security checks. Coordinate deployment through configuration management. Establish a recovery point and rollback trigger before installation. For urgent exploitation, use the approved emergency-change route and record temporary restrictions or compensating measures while remediation proceeds.</w:t>
      </w:r>
    </w:p>
    <w:p>
      <w:pPr>
        <w:pStyle w:val="Heading2"/>
      </w:pPr>
      <w:r>
        <w:t>Verify and manage exceptions</w:t>
      </w:r>
    </w:p>
    <w:p>
      <w:r>
        <w:t>Close a finding only after version checks, rescanning, or another approved verification method establishes the required result. Record evidence and date. For unpatchable or unsupported components, document the reason, affected scope, mitigation, replacement plan, expiration, and Government risk decision. Review expiring exceptions at [frequency]. Contractor recommendation or scanner suppression is not risk acceptance.</w:t>
      </w:r>
    </w:p>
    <w:p>
      <w:r>
        <w:br w:type="page"/>
      </w:r>
    </w:p>
    <w:p>
      <w:pPr>
        <w:pStyle w:val="Heading1"/>
      </w:pPr>
      <w:r>
        <w:t>System records and exercise worksheet</w:t>
      </w:r>
    </w:p>
    <w:p>
      <w:r>
        <w:t>Complete the records below and expand them for the actual system. Link to authoritative records where they already exist; retain enough local detail to execute the procedure during a tool or network outage.</w:t>
      </w:r>
    </w:p>
    <w:tbl>
      <w:tblPr>
        <w:tblW w:type="auto" w:w="0"/>
        <w:tblLayout w:type="fixed"/>
        <w:tblLook w:firstColumn="1" w:firstRow="1" w:lastColumn="0" w:lastRow="0" w:noHBand="0" w:noVBand="1" w:val="04A0"/>
      </w:tblPr>
      <w:tblGrid>
        <w:gridCol w:w="2880"/>
        <w:gridCol w:w="3672"/>
        <w:gridCol w:w="3384"/>
      </w:tblGrid>
      <w:tr>
        <w:trPr>
          <w:cantSplit/>
          <w:tblHeader/>
        </w:trPr>
        <w:tc>
          <w:tcPr>
            <w:tcW w:type="dxa" w:w="3312"/>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60" w:before="20"/>
            </w:pPr>
            <w:r>
              <w:rPr>
                <w:b/>
                <w:sz w:val="20"/>
              </w:rPr>
              <w:t>Priority or condition</w:t>
            </w:r>
          </w:p>
        </w:tc>
        <w:tc>
          <w:tcPr>
            <w:tcW w:type="dxa" w:w="3312"/>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60" w:before="20"/>
            </w:pPr>
            <w:r>
              <w:rPr>
                <w:b/>
                <w:sz w:val="20"/>
              </w:rPr>
              <w:t>Required action and due date source</w:t>
            </w:r>
          </w:p>
        </w:tc>
        <w:tc>
          <w:tcPr>
            <w:tcW w:type="dxa" w:w="3312"/>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60" w:before="20"/>
            </w:pPr>
            <w:r>
              <w:rPr>
                <w:b/>
                <w:sz w:val="20"/>
              </w:rPr>
              <w:t>Verification</w:t>
            </w:r>
          </w:p>
        </w:tc>
      </w:tr>
      <w:tr>
        <w:trPr>
          <w:cantSplit/>
        </w:trPr>
        <w:tc>
          <w:tcPr>
            <w:tcW w:type="dxa" w:w="288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Directed or exploited issue</w:t>
            </w:r>
          </w:p>
        </w:tc>
        <w:tc>
          <w:tcPr>
            <w:tcW w:type="dxa" w:w="367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[Directive / deadline / owner]</w:t>
            </w:r>
          </w:p>
        </w:tc>
        <w:tc>
          <w:tcPr>
            <w:tcW w:type="dxa" w:w="338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[Method / evidence / date]</w:t>
            </w:r>
          </w:p>
        </w:tc>
      </w:tr>
      <w:tr>
        <w:trPr>
          <w:cantSplit/>
        </w:trPr>
        <w:tc>
          <w:tcPr>
            <w:tcW w:type="dxa" w:w="288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Routine applicable weakness</w:t>
            </w:r>
          </w:p>
        </w:tc>
        <w:tc>
          <w:tcPr>
            <w:tcW w:type="dxa" w:w="367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[Local priority rule / due date]</w:t>
            </w:r>
          </w:p>
        </w:tc>
        <w:tc>
          <w:tcPr>
            <w:tcW w:type="dxa" w:w="338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[Rescan or equivalent]</w:t>
            </w:r>
          </w:p>
        </w:tc>
      </w:tr>
      <w:tr>
        <w:trPr>
          <w:cantSplit/>
        </w:trPr>
        <w:tc>
          <w:tcPr>
            <w:tcW w:type="dxa" w:w="288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Patch incompatibility</w:t>
            </w:r>
          </w:p>
        </w:tc>
        <w:tc>
          <w:tcPr>
            <w:tcW w:type="dxa" w:w="367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[Mitigation / decision / expiry]</w:t>
            </w:r>
          </w:p>
        </w:tc>
        <w:tc>
          <w:tcPr>
            <w:tcW w:type="dxa" w:w="338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[Mitigation effectiveness test]</w:t>
            </w:r>
          </w:p>
        </w:tc>
      </w:tr>
      <w:tr>
        <w:trPr>
          <w:cantSplit/>
        </w:trPr>
        <w:tc>
          <w:tcPr>
            <w:tcW w:type="dxa" w:w="288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Unreachable or unsupported asset</w:t>
            </w:r>
          </w:p>
        </w:tc>
        <w:tc>
          <w:tcPr>
            <w:tcW w:type="dxa" w:w="367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[Coverage action / replacement path]</w:t>
            </w:r>
          </w:p>
        </w:tc>
        <w:tc>
          <w:tcPr>
            <w:tcW w:type="dxa" w:w="338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[Accountable disposition]</w:t>
            </w:r>
          </w:p>
        </w:tc>
      </w:tr>
    </w:tbl>
    <w:p/>
    <w:p>
      <w:pPr>
        <w:pStyle w:val="Heading2"/>
      </w:pPr>
      <w:r>
        <w:t>Exercise or walkthrough</w:t>
      </w:r>
    </w:p>
    <w:p>
      <w:r>
        <w:t>Use a vendor patch that breaks a simulator interface as the exercise case. Demonstrate test failure, escalation, temporary mitigation, a time-bounded decision, and later verified remediation. Confirm that the dashboard still shows the unresolved weakness during the exception period.</w:t>
      </w:r>
    </w:p>
    <w:tbl>
      <w:tblPr>
        <w:tblW w:type="auto" w:w="0"/>
        <w:tblLayout w:type="fixed"/>
        <w:tblLook w:firstColumn="1" w:firstRow="1" w:lastColumn="0" w:lastRow="0" w:noHBand="0" w:noVBand="1" w:val="04A0"/>
      </w:tblPr>
      <w:tblGrid>
        <w:gridCol w:w="2880"/>
        <w:gridCol w:w="7056"/>
      </w:tblGrid>
      <w:tr>
        <w:trPr>
          <w:cantSplit/>
          <w:tblHeader/>
        </w:trPr>
        <w:tc>
          <w:tcPr>
            <w:tcW w:type="dxa" w:w="4968"/>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60" w:before="20"/>
            </w:pPr>
            <w:r>
              <w:rPr>
                <w:b/>
                <w:sz w:val="20"/>
              </w:rPr>
              <w:t>Exercise record</w:t>
            </w:r>
          </w:p>
        </w:tc>
        <w:tc>
          <w:tcPr>
            <w:tcW w:type="dxa" w:w="4968"/>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60" w:before="20"/>
            </w:pPr>
            <w:r>
              <w:rPr>
                <w:b/>
                <w:sz w:val="20"/>
              </w:rPr>
              <w:t>System entry</w:t>
            </w:r>
          </w:p>
        </w:tc>
      </w:tr>
      <w:tr>
        <w:trPr>
          <w:cantSplit/>
        </w:trPr>
        <w:tc>
          <w:tcPr>
            <w:tcW w:type="dxa" w:w="288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Date and participants</w:t>
            </w:r>
          </w:p>
        </w:tc>
        <w:tc>
          <w:tcPr>
            <w:tcW w:type="dxa" w:w="705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[Date / roles / facilitator]</w:t>
            </w:r>
          </w:p>
        </w:tc>
      </w:tr>
      <w:tr>
        <w:trPr>
          <w:cantSplit/>
        </w:trPr>
        <w:tc>
          <w:tcPr>
            <w:tcW w:type="dxa" w:w="288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Observed result</w:t>
            </w:r>
          </w:p>
        </w:tc>
        <w:tc>
          <w:tcPr>
            <w:tcW w:type="dxa" w:w="705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[Expected versus actual / evidence]</w:t>
            </w:r>
          </w:p>
        </w:tc>
      </w:tr>
      <w:tr>
        <w:trPr>
          <w:cantSplit/>
        </w:trPr>
        <w:tc>
          <w:tcPr>
            <w:tcW w:type="dxa" w:w="288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Decision or gap</w:t>
            </w:r>
          </w:p>
        </w:tc>
        <w:tc>
          <w:tcPr>
            <w:tcW w:type="dxa" w:w="705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[Issue / accountable owner / due date]</w:t>
            </w:r>
          </w:p>
        </w:tc>
      </w:tr>
      <w:tr>
        <w:trPr>
          <w:cantSplit/>
        </w:trPr>
        <w:tc>
          <w:tcPr>
            <w:tcW w:type="dxa" w:w="288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Follow through</w:t>
            </w:r>
          </w:p>
        </w:tc>
        <w:tc>
          <w:tcPr>
            <w:tcW w:type="dxa" w:w="705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[Tracking record / retest date / closure evidence]</w:t>
            </w:r>
          </w:p>
        </w:tc>
      </w:tr>
    </w:tbl>
    <w:p/>
    <w:p>
      <w:r>
        <w:br w:type="page"/>
      </w:r>
    </w:p>
    <w:p>
      <w:pPr>
        <w:pStyle w:val="Heading1"/>
      </w:pPr>
      <w:r>
        <w:t>Completion and approval checks</w:t>
      </w:r>
    </w:p>
    <w:p>
      <w:r>
        <w:t>☐ Scan coverage is reconciled with inventory, including offline assets.</w:t>
      </w:r>
    </w:p>
    <w:p>
      <w:r>
        <w:t>☐ Deadlines cite the applicable directive or approved local parameter.</w:t>
      </w:r>
    </w:p>
    <w:p>
      <w:r>
        <w:t>☐ Patch testing includes mission dependencies and rollback.</w:t>
      </w:r>
    </w:p>
    <w:p>
      <w:r>
        <w:t>☐ Closure and exception decisions are supported by evidence.</w:t>
      </w:r>
    </w:p>
    <w:p>
      <w:pPr>
        <w:pStyle w:val="Heading2"/>
      </w:pPr>
      <w:r>
        <w:t>Control mapping for tailoring</w:t>
      </w:r>
    </w:p>
    <w:p>
      <w:r>
        <w:t>RA-5, SI-2, SI-5, CM-3, CM-4 and CM-8 as selected.</w:t>
      </w:r>
    </w:p>
    <w:p>
      <w:pPr>
        <w:pStyle w:val="Heading2"/>
      </w:pPr>
      <w:r>
        <w:t>Applicability and source basis</w:t>
      </w:r>
    </w:p>
    <w:p>
      <w:r>
        <w:t>This combined document is a recommended implementation aid. NIST SP 800-40 Rev 4 addresses patch planning; DA Pam 25-2-14 includes IAVM compliance responsibilities.</w:t>
      </w:r>
    </w:p>
    <w:p>
      <w:r>
        <w:t>Control identifiers are navigation aids, not a determination that every cited control or enhancement applies. Map the approved system baseline and assessment objectives to the evidence actually produced. Current command orders, AO conditions, and assigned parameters must be incorporated before use.</w:t>
      </w:r>
    </w:p>
    <w:p>
      <w:pPr>
        <w:pStyle w:val="Heading2"/>
      </w:pPr>
      <w:r>
        <w:t>Approval record</w:t>
      </w:r>
    </w:p>
    <w:p>
      <w:r>
        <w:t>Prepared by [name / role / date]. Technical review [name / date]. Mission or service-provider coordination [name / date]. Approved by [authorized role / signature / date]. Next review [date or event].</w:t>
      </w:r>
    </w:p>
    <w:p>
      <w:pPr>
        <w:pStyle w:val="Heading2"/>
      </w:pPr>
      <w:r>
        <w:t>Source references</w:t>
      </w:r>
    </w:p>
    <w:p>
      <w:r>
        <w:rPr>
          <w:sz w:val="18"/>
        </w:rPr>
        <w:t>NIST SP 800-40 Rev 4 Enterprise Patch Management Planning</w:t>
        <w:br/>
        <w:t>https://csrc.nist.gov/pubs/sp/800/40/r4/final</w:t>
      </w:r>
    </w:p>
    <w:p>
      <w:r>
        <w:rPr>
          <w:sz w:val="18"/>
        </w:rPr>
        <w:t>DA Pam 25-2-14 RMF for Army IT 8 April 2019</w:t>
        <w:br/>
        <w:t>https://armypubs.army.mil/epubs/DR_pubs/DR_a/ARN36811-PAM_25-2-14-001-WEB-3.pdf</w:t>
      </w:r>
    </w:p>
    <w:p>
      <w:r>
        <w:rPr>
          <w:sz w:val="18"/>
        </w:rPr>
        <w:t>NIST SP 800-53 Rev 5 control catalog and release updates</w:t>
        <w:br/>
        <w:t>https://csrc.nist.gov/pubs/sp/800/53/r5/upd1/final</w:t>
      </w:r>
    </w:p>
    <w:sectPr w:rsidR="00FC693F" w:rsidRPr="0006063C" w:rsidSect="00034616">
      <w:headerReference w:type="default" r:id="rId9"/>
      <w:footerReference w:type="default" r:id="rId10"/>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Draft v0.1  •  28 October 2026  |  System template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rPr>
      <w:t>CYBERSECURITY CENTER OF EXCELLENCE  |  WORKING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