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Supply Chain Risk Management Plan</w:t>
      </w:r>
    </w:p>
    <w:p>
      <w:r>
        <w:t>This plan identifies and treats supplier and component risks affecting [system] throughout acquisition, integration, operation, and retirement. Use it as the system annex to an enterprise SCRM program when that program provides shared processes.</w:t>
      </w:r>
    </w:p>
    <w:p>
      <w:pPr>
        <w:pStyle w:val="Heading2"/>
      </w:pPr>
      <w:r>
        <w:t>How to tailor this draft</w:t>
      </w:r>
    </w:p>
    <w:p>
      <w:r>
        <w:t>Replace every bracketed field. The operating language below is a proposed local approach, not an approved Army policy. Validate it against the assigned control baseline, overlays, authorization conditions, current command guidance, and contractual responsibilities. Remove drafting instructions before approval. Do not change a mandated deadline to match an illustrative local target.</w:t>
      </w:r>
    </w:p>
    <w:p>
      <w:r>
        <w:t>Use enterprise plans by reference where they apply, but identify the provider, document version, inherited service, local tasks, and evidence of coverage. Record a reason and approving role for any section treated as not applicable. Keep the SSP and POA&amp;M in the designated RMF tool; link to them rather than reproducing them here.</w:t>
      </w:r>
    </w:p>
    <w:p>
      <w:pPr>
        <w:pStyle w:val="Heading2"/>
      </w:pPr>
      <w:r>
        <w:t>System and document control</w:t>
      </w:r>
    </w:p>
    <w:tbl>
      <w:tblPr>
        <w:tblW w:type="auto" w:w="0"/>
        <w:tblLayout w:type="fixed"/>
        <w:tblLook w:firstColumn="1" w:firstRow="1" w:lastColumn="0" w:lastRow="0" w:noHBand="0" w:noVBand="1" w:val="04A0"/>
      </w:tblPr>
      <w:tblGrid>
        <w:gridCol w:w="2952"/>
        <w:gridCol w:w="6984"/>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Field</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Complete for this system</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name and RMF record</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[Name / acronym / record ID / boundary version]</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Scope and operating modes</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[Critical products / software dependencies / services / integrators / lifecycle phases]</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Owner and custodian</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owner / ISSM or ISSO / document custodian]</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Approval and effective date</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[Approving role / name / signature / date]</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 and distribution</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 interval / event triggers / repository / authorized recipients]</w:t>
            </w:r>
          </w:p>
        </w:tc>
      </w:tr>
    </w:tbl>
    <w:p/>
    <w:p>
      <w:pPr>
        <w:pStyle w:val="Heading2"/>
      </w:pPr>
      <w:r>
        <w:t>Local decisions to record</w:t>
      </w:r>
    </w:p>
    <w:p>
      <w:r>
        <w:t>Approval of this document: [role]. Authority for operational actions: [role and limits]. Residual risk acceptance: [authorized Government official]. Completed-document handling and marking: [determination under applicable guidance]. A blank public template does not establish the handling rules for a populated system artifact.</w:t>
      </w:r>
    </w:p>
    <w:p>
      <w:r>
        <w:br w:type="page"/>
      </w:r>
    </w:p>
    <w:p>
      <w:pPr>
        <w:pStyle w:val="Heading1"/>
      </w:pPr>
      <w:r>
        <w:t>Operating procedures</w:t>
      </w:r>
    </w:p>
    <w:p>
      <w:pPr>
        <w:pStyle w:val="Heading2"/>
      </w:pPr>
      <w:r>
        <w:t>Scope critical dependencies</w:t>
      </w:r>
    </w:p>
    <w:p>
      <w:r>
        <w:t>[System engineer] identifies mission-critical functions and maps them to components, software dependencies, services, and suppliers. Record the rationale for criticality, single-source dependencies, remote support access, and lifecycle support dates. Distinguish verified provenance from supplier assertions and information that remains unknown.</w:t>
      </w:r>
    </w:p>
    <w:p>
      <w:pPr>
        <w:pStyle w:val="Heading2"/>
      </w:pPr>
      <w:r>
        <w:t>Assess and select treatments</w:t>
      </w:r>
    </w:p>
    <w:p>
      <w:r>
        <w:t>[SCRM lead] evaluates available evidence about integrity, authenticity, development practices, component provenance, supportability, and susceptibility to disruption or compromise. Coordinate authorized threat information through approved channels. Record evidence limitations and practical treatments such as alternate sources, stronger verification, reduced access, inventory reserves, replacement, or contract deliverables.</w:t>
      </w:r>
    </w:p>
    <w:p>
      <w:pPr>
        <w:pStyle w:val="Heading2"/>
      </w:pPr>
      <w:r>
        <w:t>Coordinate procurement and receipt</w:t>
      </w:r>
    </w:p>
    <w:p>
      <w:r>
        <w:t>Provide the contracting team with concrete assurance requirements, required records, change-notification triggers, and acceptance tests before award. Confirm that subcontract and supplier expectations are incorporated through applicable contract mechanisms. At receipt or integration, verify identity, version, integrity evidence, and approved source; quarantine suspect items pending authorized disposition.</w:t>
      </w:r>
    </w:p>
    <w:p>
      <w:pPr>
        <w:pStyle w:val="Heading2"/>
      </w:pPr>
      <w:r>
        <w:t>Monitor changes and incidents</w:t>
      </w:r>
    </w:p>
    <w:p>
      <w:r>
        <w:t>Review supplier, component, ownership, support, vulnerability, and delivery changes at [frequency] and before critical releases. Notify [system owner and contracting channel] when a change affects an approved treatment or mission dependency. Coordinate supplier incidents with incident response and preserve provenance evidence. Refresh the risk decision when conditions or supplier commitments change.</w:t>
      </w:r>
    </w:p>
    <w:p>
      <w:r>
        <w:br w:type="page"/>
      </w:r>
    </w:p>
    <w:p>
      <w:pPr>
        <w:pStyle w:val="Heading1"/>
      </w:pPr>
      <w:r>
        <w:t>System records and exercise worksheet</w:t>
      </w:r>
    </w:p>
    <w:p>
      <w:r>
        <w:t>Complete the records below and expand them for the actual system. Link to authoritative records where they already exist; retain enough local detail to execute the procedure during a tool or network outage.</w:t>
      </w:r>
    </w:p>
    <w:tbl>
      <w:tblPr>
        <w:tblW w:type="auto" w:w="0"/>
        <w:tblLayout w:type="fixed"/>
        <w:tblLook w:firstColumn="1" w:firstRow="1" w:lastColumn="0" w:lastRow="0" w:noHBand="0" w:noVBand="1" w:val="04A0"/>
      </w:tblPr>
      <w:tblGrid>
        <w:gridCol w:w="2880"/>
        <w:gridCol w:w="3672"/>
        <w:gridCol w:w="3384"/>
      </w:tblGrid>
      <w:tr>
        <w:trPr>
          <w:cantSplit/>
          <w:tblHeader/>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Dependency and criticality</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Risk and evidence</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Treatment and owner</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[Component / function]</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[Threat / weakness / confidence]</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[Action / role / target date]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[Software dependency]</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[Version / provenance / known issue]</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[Verification / substitute / expiry]</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[External service]</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[Concentration / access / outage]</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[Alternative / recovery arrangement]</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[Supplier support]</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[End of support / change]</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[Transition / contract action]</w:t>
            </w:r>
          </w:p>
        </w:tc>
      </w:tr>
    </w:tbl>
    <w:p/>
    <w:p>
      <w:pPr>
        <w:pStyle w:val="Heading2"/>
      </w:pPr>
      <w:r>
        <w:t>Exercise or walkthrough</w:t>
      </w:r>
    </w:p>
    <w:p>
      <w:r>
        <w:t>Assess the loss of support for a mission-critical proprietary component. Identify the affected functions, available evidence, replacement lead time, test needs, and residual risk decision. Verify that a supplier assertion of security has not been treated as proof of component authenticity or operational resilience.</w:t>
      </w:r>
    </w:p>
    <w:tbl>
      <w:tblPr>
        <w:tblW w:type="auto" w:w="0"/>
        <w:tblLayout w:type="fixed"/>
        <w:tblLook w:firstColumn="1" w:firstRow="1" w:lastColumn="0" w:lastRow="0" w:noHBand="0" w:noVBand="1" w:val="04A0"/>
      </w:tblPr>
      <w:tblGrid>
        <w:gridCol w:w="2880"/>
        <w:gridCol w:w="7056"/>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Exercise record</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System entry</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Date and participants</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[Date / roles / facilitator]</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Observed result</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[Expected versus actual / evidence]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Decision or gap</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[Issue / accountable owner / due date]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Follow through</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[Tracking record / retest date / closure evidence]</w:t>
            </w:r>
          </w:p>
        </w:tc>
      </w:tr>
    </w:tbl>
    <w:p/>
    <w:p>
      <w:r>
        <w:br w:type="page"/>
      </w:r>
    </w:p>
    <w:p>
      <w:pPr>
        <w:pStyle w:val="Heading1"/>
      </w:pPr>
      <w:r>
        <w:t>Completion and approval checks</w:t>
      </w:r>
    </w:p>
    <w:p>
      <w:r>
        <w:t>☐ Criticality and supplier scope are traceable to mission functions.</w:t>
      </w:r>
    </w:p>
    <w:p>
      <w:r>
        <w:t>☐ Every significant risk has evidence, uncertainty, an owner, and a treatment decision.</w:t>
      </w:r>
    </w:p>
    <w:p>
      <w:r>
        <w:t>☐ Procurement obligations are tied to the actual contract.</w:t>
      </w:r>
    </w:p>
    <w:p>
      <w:r>
        <w:t>☐ Provider changes and unresolved risks feed configuration and monitoring processes.</w:t>
      </w:r>
    </w:p>
    <w:p>
      <w:pPr>
        <w:pStyle w:val="Heading2"/>
      </w:pPr>
      <w:r>
        <w:t>Control mapping for tailoring</w:t>
      </w:r>
    </w:p>
    <w:p>
      <w:r>
        <w:t>SR-2, SR-3, SR-5, SR-6, SR-8, SR-11 and related controls as selected.</w:t>
      </w:r>
    </w:p>
    <w:p>
      <w:pPr>
        <w:pStyle w:val="Heading2"/>
      </w:pPr>
      <w:r>
        <w:t>Applicability and source basis</w:t>
      </w:r>
    </w:p>
    <w:p>
      <w:r>
        <w:t>Use when required by the selected controls or program guidance, or when a local annex is needed to implement enterprise coverage. NIST SP 800-161 provides multilevel C-SCRM guidance.</w:t>
      </w:r>
    </w:p>
    <w:p>
      <w:r>
        <w:t>Control identifiers are navigation aids, not a determination that every cited control or enhancement applies. Map the approved system baseline and assessment objectives to the evidence actually produced. Current command orders, AO conditions, and assigned parameters must be incorporated before use.</w:t>
      </w:r>
    </w:p>
    <w:p>
      <w:pPr>
        <w:pStyle w:val="Heading2"/>
      </w:pPr>
      <w:r>
        <w:t>Approval record</w:t>
      </w:r>
    </w:p>
    <w:p>
      <w:r>
        <w:t>Prepared by [name / role / date]. Technical review [name / date]. Mission or service-provider coordination [name / date]. Approved by [authorized role / signature / date]. Next review [date or event].</w:t>
      </w:r>
    </w:p>
    <w:p>
      <w:pPr>
        <w:pStyle w:val="Heading2"/>
      </w:pPr>
      <w:r>
        <w:t>Source references</w:t>
      </w:r>
    </w:p>
    <w:p>
      <w:r>
        <w:rPr>
          <w:sz w:val="18"/>
        </w:rPr>
        <w:t>NIST SP 800-161 Rev 1 updated November 2024</w:t>
        <w:br/>
        <w:t>https://csrc.nist.gov/pubs/sp/800/161/r1/upd1/final</w:t>
      </w:r>
    </w:p>
    <w:p>
      <w:r>
        <w:rPr>
          <w:sz w:val="18"/>
        </w:rPr>
        <w:t>NIST SP 800-53 Rev 5 control catalog and release updates</w:t>
        <w:br/>
        <w:t>https://csrc.nist.gov/pubs/sp/800/53/r5/upd1/final</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Draft v0.1  •  28 October 2026  |  System template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CYBERSECURITY CENTER OF EXCELLENCE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