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Information Exchange Security Agreement Worksheet</w:t>
      </w:r>
    </w:p>
    <w:p>
      <w:r>
        <w:t>This worksheet captures the technical and operational terms needed to protect an information exchange involving [system]. Transfer the agreed content into a prescribed ISA, MOU, MOA, or other agreement format when one is required.</w:t>
      </w:r>
    </w:p>
    <w:p>
      <w:pPr>
        <w:pStyle w:val="Heading2"/>
      </w:pPr>
      <w:r>
        <w:t>How to tailor this draft</w:t>
      </w:r>
    </w:p>
    <w:p>
      <w:r>
        <w:t>Replace every bracketed field. The operating language below is a proposed local approach, not an approved Army policy. Validate it against the assigned control baseline, overlays, authorization conditions, current command guidance, and contractual responsibilities. Remove drafting instructions before approval. Do not change a mandated deadline to match an illustrative local target.</w:t>
      </w:r>
    </w:p>
    <w:p>
      <w:r>
        <w:t>Use enterprise plans by reference where they apply, but identify the provider, document version, inherited service, local tasks, and evidence of coverage. Record a reason and approving role for any section treated as not applicable. Keep the SSP and POA&amp;M in the designated RMF tool; link to them rather than reproducing them here.</w:t>
      </w:r>
    </w:p>
    <w:p>
      <w:pPr>
        <w:pStyle w:val="Heading2"/>
      </w:pPr>
      <w:r>
        <w:t>System and document control</w:t>
      </w:r>
    </w:p>
    <w:tbl>
      <w:tblPr>
        <w:tblW w:type="auto" w:w="0"/>
        <w:tblLayout w:type="fixed"/>
        <w:tblLook w:firstColumn="1" w:firstRow="1" w:lastColumn="0" w:lastRow="0" w:noHBand="0" w:noVBand="1" w:val="04A0"/>
      </w:tblPr>
      <w:tblGrid>
        <w:gridCol w:w="2952"/>
        <w:gridCol w:w="6984"/>
      </w:tblGrid>
      <w:tr>
        <w:trPr>
          <w:cantSplit/>
          <w:tblHeader/>
        </w:trPr>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Field</w:t>
            </w:r>
          </w:p>
        </w:tc>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Complete for this system</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System name and RMF record</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[Name / acronym / record ID / boundary version]</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Scope and operating modes</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[Sending and receiving organizations / systems / data categories / exchange method]</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Owner and custodian</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[System owner / ISSM or ISSO / document custodian]</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Approval and effective date</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[Approving role / name / signature / date]</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Review and distribution</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[Review interval / event triggers / repository / authorized recipients]</w:t>
            </w:r>
          </w:p>
        </w:tc>
      </w:tr>
    </w:tbl>
    <w:p/>
    <w:p>
      <w:pPr>
        <w:pStyle w:val="Heading2"/>
      </w:pPr>
      <w:r>
        <w:t>Local decisions to record</w:t>
      </w:r>
    </w:p>
    <w:p>
      <w:r>
        <w:t>Approval of this document: [role]. Authority for operational actions: [role and limits]. Residual risk acceptance: [authorized Government official]. Completed-document handling and marking: [determination under applicable guidance]. A blank public template does not establish the handling rules for a populated system artifact.</w:t>
      </w:r>
    </w:p>
    <w:p>
      <w:r>
        <w:br w:type="page"/>
      </w:r>
    </w:p>
    <w:p>
      <w:pPr>
        <w:pStyle w:val="Heading1"/>
      </w:pPr>
      <w:r>
        <w:t>Operating procedures</w:t>
      </w:r>
    </w:p>
    <w:p>
      <w:pPr>
        <w:pStyle w:val="Heading2"/>
      </w:pPr>
      <w:r>
        <w:t>Describe the exchange</w:t>
      </w:r>
    </w:p>
    <w:p>
      <w:r>
        <w:t>Identify both system owners, authorization boundaries, business purpose, information types, classification or handling requirements, transfer direction, frequency, and volume. Include data-flow and boundary diagrams by controlled reference. Record whether the exchange uses a direct connection, API, shared service, managed transfer, or physical media.</w:t>
      </w:r>
    </w:p>
    <w:p>
      <w:pPr>
        <w:pStyle w:val="Heading2"/>
      </w:pPr>
      <w:r>
        <w:t>Allocate protections</w:t>
      </w:r>
    </w:p>
    <w:p>
      <w:r>
        <w:t>Assign responsibility for identity validation, access approval, encryption and key management, boundary filtering, data validation, logging, retention, disposal, and incident detection. Record protocol and interface details in the controlled technical annex. Identify each party’s conditions for accepting data and how recipients prevent unauthorized onward disclosure.</w:t>
      </w:r>
    </w:p>
    <w:p>
      <w:pPr>
        <w:pStyle w:val="Heading2"/>
      </w:pPr>
      <w:r>
        <w:t>Operate and respond</w:t>
      </w:r>
    </w:p>
    <w:p>
      <w:r>
        <w:t>Both parties maintain operational and security contacts with alternate channels. [Designated role] reconciles the approved interface with deployed settings at [frequency]. Notify the other party of changes and incidents through [approved process and timing]. State who may suspend the exchange, how urgent isolation is coordinated, and what evidence and approvals are needed to resume.</w:t>
      </w:r>
    </w:p>
    <w:p>
      <w:pPr>
        <w:pStyle w:val="Heading2"/>
      </w:pPr>
      <w:r>
        <w:t>Approve and terminate</w:t>
      </w:r>
    </w:p>
    <w:p>
      <w:r>
        <w:t>Set the effective date, review date, expiration or termination conditions, change process, and authorized signatories for both parties. Resolve security responsibilities before activation. Record the separate connection and authorization approvals required; signing this worksheet does not grant an ATO, cross-domain approval, or network connection permission. At termination, disable access and dispose of retained information under the applicable rules.</w:t>
      </w:r>
    </w:p>
    <w:p>
      <w:r>
        <w:br w:type="page"/>
      </w:r>
    </w:p>
    <w:p>
      <w:pPr>
        <w:pStyle w:val="Heading1"/>
      </w:pPr>
      <w:r>
        <w:t>System records and exercise worksheet</w:t>
      </w:r>
    </w:p>
    <w:p>
      <w:r>
        <w:t>Complete the records below and expand them for the actual system. Link to authoritative records where they already exist; retain enough local detail to execute the procedure during a tool or network outage.</w:t>
      </w:r>
    </w:p>
    <w:tbl>
      <w:tblPr>
        <w:tblW w:type="auto" w:w="0"/>
        <w:tblLayout w:type="fixed"/>
        <w:tblLook w:firstColumn="1" w:firstRow="1" w:lastColumn="0" w:lastRow="0" w:noHBand="0" w:noVBand="1" w:val="04A0"/>
      </w:tblPr>
      <w:tblGrid>
        <w:gridCol w:w="2880"/>
        <w:gridCol w:w="3672"/>
        <w:gridCol w:w="3384"/>
      </w:tblGrid>
      <w:tr>
        <w:trPr>
          <w:cantSplit/>
          <w:tblHeader/>
        </w:trPr>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Protection or duty</w:t>
            </w:r>
          </w:p>
        </w:tc>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Party A responsibility</w:t>
            </w:r>
          </w:p>
        </w:tc>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Party B responsibility</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Access and identity</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[Role / service / approval]</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[Role / service / approval]</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Transmission and validation</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[Method / evidence]</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[Method / evidence]</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Monitoring and incidents</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[Coverage / reporting route]</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[Coverage / reporting route]</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Retention and termination</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[Rule / owner / evidence]</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[Rule / owner / evidence]</w:t>
            </w:r>
          </w:p>
        </w:tc>
      </w:tr>
    </w:tbl>
    <w:p/>
    <w:p>
      <w:pPr>
        <w:pStyle w:val="Heading2"/>
      </w:pPr>
      <w:r>
        <w:t>Exercise or walkthrough</w:t>
      </w:r>
    </w:p>
    <w:p>
      <w:r>
        <w:t>Walk through a change in the receiving system’s hosting provider. Determine whether the agreed data handling, trust boundary, monitoring, or reporting route changes. Demonstrate the suspension and reapproval process before the changed interface is enabled.</w:t>
      </w:r>
    </w:p>
    <w:tbl>
      <w:tblPr>
        <w:tblW w:type="auto" w:w="0"/>
        <w:tblLayout w:type="fixed"/>
        <w:tblLook w:firstColumn="1" w:firstRow="1" w:lastColumn="0" w:lastRow="0" w:noHBand="0" w:noVBand="1" w:val="04A0"/>
      </w:tblPr>
      <w:tblGrid>
        <w:gridCol w:w="2880"/>
        <w:gridCol w:w="7056"/>
      </w:tblGrid>
      <w:tr>
        <w:trPr>
          <w:cantSplit/>
          <w:tblHeader/>
        </w:trPr>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Exercise record</w:t>
            </w:r>
          </w:p>
        </w:tc>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System entry</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Date and participants</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[Date / roles / facilitator]</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Observed result</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[Expected versus actual / evidence]</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Decision or gap</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[Issue / accountable owner / due date]</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Follow through</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[Tracking record / retest date / closure evidence]</w:t>
            </w:r>
          </w:p>
        </w:tc>
      </w:tr>
    </w:tbl>
    <w:p/>
    <w:p>
      <w:r>
        <w:br w:type="page"/>
      </w:r>
    </w:p>
    <w:p>
      <w:pPr>
        <w:pStyle w:val="Heading1"/>
      </w:pPr>
      <w:r>
        <w:t>Completion and approval checks</w:t>
      </w:r>
    </w:p>
    <w:p>
      <w:r>
        <w:t>☐ Both parties agree to a single data-flow description.</w:t>
      </w:r>
    </w:p>
    <w:p>
      <w:r>
        <w:t>☐ Responsibility gaps are resolved explicitly.</w:t>
      </w:r>
    </w:p>
    <w:p>
      <w:r>
        <w:t>☐ Required connection approvals remain separate and traceable.</w:t>
      </w:r>
    </w:p>
    <w:p>
      <w:r>
        <w:t>☐ Suspension, notification, review, and termination terms are executable.</w:t>
      </w:r>
    </w:p>
    <w:p>
      <w:pPr>
        <w:pStyle w:val="Heading2"/>
      </w:pPr>
      <w:r>
        <w:t>Control mapping for tailoring</w:t>
      </w:r>
    </w:p>
    <w:p>
      <w:r>
        <w:t>CA-3, AC-4, SC-7, SC-8 and other controls applicable to the exchange.</w:t>
      </w:r>
    </w:p>
    <w:p>
      <w:pPr>
        <w:pStyle w:val="Heading2"/>
      </w:pPr>
      <w:r>
        <w:t>Applicability and source basis</w:t>
      </w:r>
    </w:p>
    <w:p>
      <w:r>
        <w:t>NIST SP 800-47 Rev 1 addresses information exchanges and appropriate agreements. This worksheet does not replace service-specific connection packages or mandated agreement forms.</w:t>
      </w:r>
    </w:p>
    <w:p>
      <w:r>
        <w:t>Control identifiers are navigation aids, not a determination that every cited control or enhancement applies. Map the approved system baseline and assessment objectives to the evidence actually produced. Current command orders, AO conditions, and assigned parameters must be incorporated before use.</w:t>
      </w:r>
    </w:p>
    <w:p>
      <w:pPr>
        <w:pStyle w:val="Heading2"/>
      </w:pPr>
      <w:r>
        <w:t>Approval record</w:t>
      </w:r>
    </w:p>
    <w:p>
      <w:r>
        <w:t>Prepared by [name / role / date]. Technical review [name / date]. Mission or service-provider coordination [name / date]. Approved by [authorized role / signature / date]. Next review [date or event].</w:t>
      </w:r>
    </w:p>
    <w:p>
      <w:pPr>
        <w:pStyle w:val="Heading2"/>
      </w:pPr>
      <w:r>
        <w:t>Source references</w:t>
      </w:r>
    </w:p>
    <w:p>
      <w:r>
        <w:rPr>
          <w:sz w:val="18"/>
        </w:rPr>
        <w:t>NIST SP 800-47 Rev 1 Managing the Security of Information Exchanges</w:t>
        <w:br/>
        <w:t>https://csrc.nist.gov/pubs/sp/800/47/r1/final</w:t>
      </w:r>
    </w:p>
    <w:p>
      <w:r>
        <w:rPr>
          <w:sz w:val="18"/>
        </w:rPr>
        <w:t>NIST SP 800-37 Rev 2 Appendix F</w:t>
        <w:br/>
        <w:t>https://csrc.nist.gov/pubs/sp/800/37/r2/final</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Draft v0.1  •  28 October 2026  |  System template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CYBERSECURITY CENTER OF EXCELLENCE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