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Decommissioning Plan</w:t>
      </w:r>
    </w:p>
    <w:p>
      <w:r>
        <w:t>This plan retires [system] while preserving required records, transferring mission responsibilities, removing access, and documenting disposition of information and assets. Use it before a shutdown, transfer, or replacement creates unrecoverable dependencies.</w:t>
      </w:r>
    </w:p>
    <w:p>
      <w:pPr>
        <w:pStyle w:val="Heading2"/>
      </w:pPr>
      <w:r>
        <w:t>How to tailor this draft</w:t>
      </w:r>
    </w:p>
    <w:p>
      <w:r>
        <w:t>Replace every bracketed field. The operating language below is a proposed local approach, not an approved Army policy. Validate it against the assigned control baseline, overlays, authorization conditions, current command guidance, and contractual responsibilities. Remove drafting instructions before approval. Do not change a mandated deadline to match an illustrative local target.</w:t>
      </w:r>
    </w:p>
    <w:p>
      <w:r>
        <w:t>Use enterprise plans by reference where they apply, but identify the provider, document version, inherited service, local tasks, and evidence of coverage. Record a reason and approving role for any section treated as not applicable. Keep the SSP and POA&amp;M in the designated RMF tool; link to them rather than reproducing them here.</w:t>
      </w:r>
    </w:p>
    <w:p>
      <w:pPr>
        <w:pStyle w:val="Heading2"/>
      </w:pPr>
      <w:r>
        <w:t>System and document control</w:t>
      </w:r>
    </w:p>
    <w:tbl>
      <w:tblPr>
        <w:tblW w:type="auto" w:w="0"/>
        <w:tblLayout w:type="fixed"/>
        <w:tblLook w:firstColumn="1" w:firstRow="1" w:lastColumn="0" w:lastRow="0" w:noHBand="0" w:noVBand="1" w:val="04A0"/>
      </w:tblPr>
      <w:tblGrid>
        <w:gridCol w:w="2952"/>
        <w:gridCol w:w="6984"/>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Field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Complete for this system</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name and RMF record</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[Name / acronym / record ID / boundary version]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Scope and operating modes</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and components retiring / retained services / replacement boundary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and custodian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[System owner / ISSM or ISSO / document custodian]</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Approval and effective date</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[Approving role / name / signature / date]</w:t>
            </w:r>
          </w:p>
        </w:tc>
      </w:tr>
      <w:tr>
        <w:trPr>
          <w:cantSplit/>
        </w:trPr>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and distribution</w:t>
            </w:r>
          </w:p>
        </w:tc>
        <w:tc>
          <w:tcPr>
            <w:tcW w:type="dxa" w:w="69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[Review interval / event triggers / repository / authorized recipients]</w:t>
            </w:r>
          </w:p>
        </w:tc>
      </w:tr>
    </w:tbl>
    <w:p/>
    <w:p>
      <w:pPr>
        <w:pStyle w:val="Heading2"/>
      </w:pPr>
      <w:r>
        <w:t>Local decisions to record</w:t>
      </w:r>
    </w:p>
    <w:p>
      <w:r>
        <w:t>Approval of this document: [role]. Authority for operational actions: [role and limits]. Residual risk acceptance: [authorized Government official]. Completed-document handling and marking: [determination under applicable guidance]. A blank public template does not establish the handling rules for a populated system artifact.</w:t>
      </w:r>
    </w:p>
    <w:p>
      <w:r>
        <w:br w:type="page"/>
      </w:r>
    </w:p>
    <w:p>
      <w:pPr>
        <w:pStyle w:val="Heading1"/>
      </w:pPr>
      <w:r>
        <w:t>Operating procedures</w:t>
      </w:r>
    </w:p>
    <w:p>
      <w:pPr>
        <w:pStyle w:val="Heading2"/>
      </w:pPr>
      <w:r>
        <w:t>Authorize and prepare</w:t>
      </w:r>
    </w:p>
    <w:p>
      <w:r>
        <w:t>[System owner] identifies the retirement decision, final mission use, replacement service, affected interfaces, users, and required notifications. Confirm records schedules, legal holds, contracts, licenses, data ownership, and retention obligations with the responsible offices. Record a rollback point and the conditions that would pause retirement.</w:t>
      </w:r>
    </w:p>
    <w:p>
      <w:pPr>
        <w:pStyle w:val="Heading2"/>
      </w:pPr>
      <w:r>
        <w:t>Transfer and validate</w:t>
      </w:r>
    </w:p>
    <w:p>
      <w:r>
        <w:t>[Data owner] approves the transfer or preservation plan and verifies that required records remain usable and accessible to authorized personnel. Validate replacement-service functionality and dependent mission interfaces before shutdown. Retain integrity and reconciliation evidence. Resolve responsibility for historical logs and backup copies rather than assuming they disappear with the production service.</w:t>
      </w:r>
    </w:p>
    <w:p>
      <w:pPr>
        <w:pStyle w:val="Heading2"/>
      </w:pPr>
      <w:r>
        <w:t>Remove access and dispose</w:t>
      </w:r>
    </w:p>
    <w:p>
      <w:r>
        <w:t>Disable user, service, machine, vendor, and remote-support access as applicable. Revoke certificates and secrets through the approved process; remove routes, firewall rules, DNS entries, monitoring targets, and external service connections after confirming shared dependencies. Select media sanitization and disposition methods under current approved guidance and classification rules. Record serial numbers, method, verification, and recipient or destruction evidence.</w:t>
      </w:r>
    </w:p>
    <w:p>
      <w:pPr>
        <w:pStyle w:val="Heading2"/>
      </w:pPr>
      <w:r>
        <w:t>Close records and residual obligations</w:t>
      </w:r>
    </w:p>
    <w:p>
      <w:r>
        <w:t>Reconcile the asset inventory and RMF record, notify the authorization chain and service providers, and retain the final configuration and evidence package as required. Track residual obligations such as retained backups, litigation holds, contracts, and remaining vulnerabilities in transferred components. [Authorized official] accepts the closure evidence and assigns continuing custodianship before the team is released.</w:t>
      </w:r>
    </w:p>
    <w:p>
      <w:r>
        <w:br w:type="page"/>
      </w:r>
    </w:p>
    <w:p>
      <w:pPr>
        <w:pStyle w:val="Heading1"/>
      </w:pPr>
      <w:r>
        <w:t>System records and exercise worksheet</w:t>
      </w:r>
    </w:p>
    <w:p>
      <w:r>
        <w:t>Complete the records below and expand them for the actual system. Link to authoritative records where they already exist; retain enough local detail to execute the procedure during a tool or network outage.</w:t>
      </w:r>
    </w:p>
    <w:tbl>
      <w:tblPr>
        <w:tblW w:type="auto" w:w="0"/>
        <w:tblLayout w:type="fixed"/>
        <w:tblLook w:firstColumn="1" w:firstRow="1" w:lastColumn="0" w:lastRow="0" w:noHBand="0" w:noVBand="1" w:val="04A0"/>
      </w:tblPr>
      <w:tblGrid>
        <w:gridCol w:w="2880"/>
        <w:gridCol w:w="3672"/>
        <w:gridCol w:w="3384"/>
      </w:tblGrid>
      <w:tr>
        <w:trPr>
          <w:cantSplit/>
          <w:tblHeader/>
        </w:trPr>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Disposition item</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Owner and action</w:t>
            </w:r>
          </w:p>
        </w:tc>
        <w:tc>
          <w:tcPr>
            <w:tcW w:type="dxa" w:w="3312"/>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Closure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Mission and data transfer</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 destination / validation]</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[Acceptance / integrity record]</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Accounts and connections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[Owner / removal sequence]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[Disable and dependency checks]</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Media and assets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[Serial / method / disposition]</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[Sanitization verification / receipt]</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Records and authorization</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[Custodian / retention / update]</w:t>
            </w:r>
          </w:p>
        </w:tc>
        <w:tc>
          <w:tcPr>
            <w:tcW w:type="dxa" w:w="33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[RMF and inventory references]</w:t>
            </w:r>
          </w:p>
        </w:tc>
      </w:tr>
    </w:tbl>
    <w:p/>
    <w:p>
      <w:pPr>
        <w:pStyle w:val="Heading2"/>
      </w:pPr>
      <w:r>
        <w:t>Exercise or walkthrough</w:t>
      </w:r>
    </w:p>
    <w:p>
      <w:r>
        <w:t>Exercise retirement of a shared application server whose service account is also used by another system. Identify the dependency before revocation, assign a new supported access arrangement, and show how retained backups and records remain governed after shutdown.</w:t>
      </w:r>
    </w:p>
    <w:tbl>
      <w:tblPr>
        <w:tblW w:type="auto" w:w="0"/>
        <w:tblLayout w:type="fixed"/>
        <w:tblLook w:firstColumn="1" w:firstRow="1" w:lastColumn="0" w:lastRow="0" w:noHBand="0" w:noVBand="1" w:val="04A0"/>
      </w:tblPr>
      <w:tblGrid>
        <w:gridCol w:w="2880"/>
        <w:gridCol w:w="7056"/>
      </w:tblGrid>
      <w:tr>
        <w:trPr>
          <w:cantSplit/>
          <w:tblHeader/>
        </w:trPr>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Exercise record</w:t>
            </w:r>
          </w:p>
        </w:tc>
        <w:tc>
          <w:tcPr>
            <w:tcW w:type="dxa" w:w="4968"/>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60" w:before="20"/>
            </w:pPr>
            <w:r>
              <w:rPr>
                <w:b/>
                <w:sz w:val="20"/>
              </w:rPr>
              <w:t>System entry</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and participants</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[Date / roles / facilitator]</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Observed result</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[Expected versus actual / evidence]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Decision or gap</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[Issue / accountable owner / due date]</w:t>
            </w:r>
          </w:p>
        </w:tc>
      </w:tr>
      <w:tr>
        <w:trPr>
          <w:cantSplit/>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Follow through</w:t>
            </w:r>
          </w:p>
        </w:tc>
        <w:tc>
          <w:tcPr>
            <w:tcW w:type="dxa" w:w="70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20"/>
            </w:pPr>
            <w:r>
              <w:rPr>
                <w:b w:val="0"/>
                <w:sz w:val="20"/>
              </w:rPr>
              <w:t>[Tracking record / retest date / closure evidence]</w:t>
            </w:r>
          </w:p>
        </w:tc>
      </w:tr>
    </w:tbl>
    <w:p/>
    <w:p>
      <w:r>
        <w:br w:type="page"/>
      </w:r>
    </w:p>
    <w:p>
      <w:pPr>
        <w:pStyle w:val="Heading1"/>
      </w:pPr>
      <w:r>
        <w:t>Completion and approval checks</w:t>
      </w:r>
    </w:p>
    <w:p>
      <w:r>
        <w:t>☐ Retirement authority, dependencies, and stop conditions are recorded.</w:t>
      </w:r>
    </w:p>
    <w:p>
      <w:r>
        <w:t>☐ Data and records disposition is approved before destructive actions.</w:t>
      </w:r>
    </w:p>
    <w:p>
      <w:r>
        <w:t>☐ Access removal includes machine and vendor credentials.</w:t>
      </w:r>
    </w:p>
    <w:p>
      <w:r>
        <w:t>☐ Every transferred or disposed asset has verifiable disposition evidence.</w:t>
      </w:r>
    </w:p>
    <w:p>
      <w:pPr>
        <w:pStyle w:val="Heading2"/>
      </w:pPr>
      <w:r>
        <w:t>Control mapping for tailoring</w:t>
      </w:r>
    </w:p>
    <w:p>
      <w:r>
        <w:t>CM-8, MP-6, AC-2, SI-12 and related selected controls; RMF disposal activities.</w:t>
      </w:r>
    </w:p>
    <w:p>
      <w:pPr>
        <w:pStyle w:val="Heading2"/>
      </w:pPr>
      <w:r>
        <w:t>Applicability and source basis</w:t>
      </w:r>
    </w:p>
    <w:p>
      <w:r>
        <w:t>DA Pam 25-2-14 section 4-11 addresses decommissioning strategy. Select sanitization procedures from current approved guidance; this draft intentionally does not prescribe a universal erasure method.</w:t>
      </w:r>
    </w:p>
    <w:p>
      <w:r>
        <w:t>Control identifiers are navigation aids, not a determination that every cited control or enhancement applies. Map the approved system baseline and assessment objectives to the evidence actually produced. Current command orders, AO conditions, and assigned parameters must be incorporated before use.</w:t>
      </w:r>
    </w:p>
    <w:p>
      <w:pPr>
        <w:pStyle w:val="Heading2"/>
      </w:pPr>
      <w:r>
        <w:t>Approval record</w:t>
      </w:r>
    </w:p>
    <w:p>
      <w:r>
        <w:t>Prepared by [name / role / date]. Technical review [name / date]. Mission or service-provider coordination [name / date]. Approved by [authorized role / signature / date]. Next review [date or event].</w:t>
      </w:r>
    </w:p>
    <w:p>
      <w:pPr>
        <w:pStyle w:val="Heading2"/>
      </w:pPr>
      <w:r>
        <w:t>Source references</w:t>
      </w:r>
    </w:p>
    <w:p>
      <w:r>
        <w:rPr>
          <w:sz w:val="18"/>
        </w:rPr>
        <w:t>DA Pam 25-2-14 RMF for Army IT 8 April 2019</w:t>
        <w:br/>
        <w:t>https://armypubs.army.mil/epubs/DR_pubs/DR_a/ARN36811-PAM_25-2-14-001-WEB-3.pdf</w:t>
      </w:r>
    </w:p>
    <w:p>
      <w:r>
        <w:rPr>
          <w:sz w:val="18"/>
        </w:rPr>
        <w:t>NIST SP 800-53 Rev 5 control catalog and release updates</w:t>
        <w:br/>
        <w:t>https://csrc.nist.gov/pubs/sp/800/53/r5/upd1/final</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Draft v0.1  •  28 October 2026  |  System template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CYBERSECURITY CENTER OF EXCELLENCE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