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SOW and PWS Language Workbook</w:t>
      </w:r>
    </w:p>
    <w:p>
      <w:r>
        <w:t>Select and tailor these original sample requirements for RMF support, system security engineering, supply chain risk management, and software assurance. Each module pairs task language for a statement of work with an outcome-oriented performance work statement alternative, deliverables, and measurable acceptance checks.</w:t>
      </w:r>
    </w:p>
    <w:p>
      <w:pPr>
        <w:pStyle w:val="Heading2"/>
      </w:pPr>
      <w:r>
        <w:t>Contracting team instructions</w:t>
      </w:r>
    </w:p>
    <w:p>
      <w:r>
        <w:t>Use the SOW or PWS wording that fits the acquisition; do not paste both alternatives as competing requirements. Replace bracketed parameters before solicitation. Identify applicable document versions, system boundaries, deliverable formats, due dates, Government-furnished information, and acceptance authority. The contracting officer and requiring activity must align the selected language with the actual clauses, data rights, CDRLs, acquisition pathway, and surveillance plan.</w:t>
      </w:r>
    </w:p>
    <w:p>
      <w:r>
        <w:t>These are proposed technical requirements, not official FAR or DFARS clauses. Source references support the subject areas; they do not make every sample requirement mandatory. Do not promise contractor control over Government authorization decisions or create automatic acceptance through silence.</w:t>
      </w:r>
    </w:p>
    <w:p>
      <w:pPr>
        <w:pStyle w:val="Heading2"/>
      </w:pPr>
      <w:r>
        <w:t>Two scopes to decide before drafting</w:t>
      </w:r>
    </w:p>
    <w:tbl>
      <w:tblPr>
        <w:tblW w:type="auto" w:w="0"/>
        <w:tblLayout w:type="fixed"/>
        <w:tblLook w:firstColumn="1" w:firstRow="1" w:lastColumn="0" w:lastRow="0" w:noHBand="0" w:noVBand="1" w:val="04A0"/>
      </w:tblPr>
      <w:tblGrid>
        <w:gridCol w:w="4032"/>
        <w:gridCol w:w="5904"/>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Scope</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Contract decision</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Delivered system or service operated for Government</w:t>
            </w:r>
          </w:p>
        </w:tc>
        <w:tc>
          <w:tcPr>
            <w:tcW w:type="dxa" w:w="59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[RMF boundary / assigned baseline / authorization authority / hosting model]</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Contractor internal information systems</w:t>
            </w:r>
          </w:p>
        </w:tc>
        <w:tc>
          <w:tcPr>
            <w:tcW w:type="dxa" w:w="59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[FCI or CUI handled / applicable safeguarding clauses / assessment and CMMC requirements]</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Data and artifacts</w:t>
            </w:r>
          </w:p>
        </w:tc>
        <w:tc>
          <w:tcPr>
            <w:tcW w:type="dxa" w:w="59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[Delivery rights / markings / secure delivery / retention / subcontract obligations]</w:t>
            </w:r>
          </w:p>
        </w:tc>
      </w:tr>
    </w:tbl>
    <w:p/>
    <w:p>
      <w:r>
        <w:t>An Army system ATO does not establish contractor internal-system compliance, and CMMC status does not authorize the delivered Army system. Treat both scopes explicitly where both exist. Avoid blanket wording that imposes every control in NIST SP 800-53 on a contractor corporate network.</w:t>
      </w:r>
    </w:p>
    <w:p>
      <w:r>
        <w:br w:type="page"/>
      </w:r>
    </w:p>
    <w:p>
      <w:pPr>
        <w:pStyle w:val="Heading1"/>
      </w:pPr>
      <w:r>
        <w:t>RMF support and authorization evidence</w:t>
      </w:r>
    </w:p>
    <w:p>
      <w:pPr>
        <w:pStyle w:val="Heading2"/>
      </w:pPr>
      <w:r>
        <w:t>SOW task language</w:t>
      </w:r>
    </w:p>
    <w:p>
      <w:r>
        <w:t>The Contractor shall develop and maintain the implementation narratives, boundary and data-flow descriptions, control responsibility matrix, and supporting evidence for [system boundary] using the Government-approved baseline and parameters identified in [contract attachment]. The Contractor shall support scheduled assessments, reproduce findings, implement assigned corrections, and submit evidence through [approved channel]. SSP and POA&amp;M information shall be maintained in [Government tool] or supplied in the approved import format; separate duplicate plans are not required.</w:t>
      </w:r>
    </w:p>
    <w:p>
      <w:pPr>
        <w:pStyle w:val="Heading2"/>
      </w:pPr>
      <w:r>
        <w:t>PWS outcome alternative</w:t>
      </w:r>
    </w:p>
    <w:p>
      <w:r>
        <w:t>The Contractor shall deliver a configuration-consistent RMF evidence set for each [release or assessment milestone], with every assigned requirement mapped to an implementation owner, current evidence, and an assessment disposition. The evidence shall enable the Government assessor to evaluate the delivered configuration without unresolved broken references or undocumented exclusions.</w:t>
      </w:r>
    </w:p>
    <w:p>
      <w:pPr>
        <w:pStyle w:val="Heading2"/>
      </w:pPr>
      <w:r>
        <w:t>Deliverables</w:t>
      </w:r>
    </w:p>
    <w:p>
      <w:r>
        <w:t>[D01] Control responsibility and evidence matrix; [D02] assessment-ready evidence package; [D03] correction and retest evidence.</w:t>
      </w:r>
    </w:p>
    <w:p>
      <w:pPr>
        <w:pStyle w:val="Heading2"/>
      </w:pPr>
      <w:r>
        <w:t>Acceptance and surveillance</w:t>
      </w:r>
    </w:p>
    <w:p>
      <w:r>
        <w:t>Government checks every assigned control for an owner, implementation reference, dated evidence, and configuration applicability. Sample tests are repeated against the delivered build. Unresolved findings remain visible with Government disposition; contractor self-certification is not assessor approval.</w:t>
      </w:r>
    </w:p>
    <w:p>
      <w:pPr>
        <w:pStyle w:val="Heading2"/>
      </w:pPr>
      <w:r>
        <w:t>Parameters to resolve</w:t>
      </w:r>
    </w:p>
    <w:p>
      <w:r>
        <w:t>The Government furnishes [baseline, inheritance records, tool access, assessment schedule] by [date]. The contractor identifies missing inputs within [period]. AO risk acceptance and authorization remain Government decisions. Do not make receipt of an ATO the sole acceptance metric.</w:t>
      </w:r>
    </w:p>
    <w:p>
      <w:r>
        <w:br w:type="page"/>
      </w:r>
    </w:p>
    <w:p>
      <w:pPr>
        <w:pStyle w:val="Heading1"/>
      </w:pPr>
      <w:r>
        <w:t>System security engineering</w:t>
      </w:r>
    </w:p>
    <w:p>
      <w:pPr>
        <w:pStyle w:val="Heading2"/>
      </w:pPr>
      <w:r>
        <w:t>SOW task language</w:t>
      </w:r>
    </w:p>
    <w:p>
      <w:r>
        <w:t>The Contractor shall analyze mission protection needs and threats for [system], allocate security requirements to architecture elements and interfaces, and maintain bidirectional traceability from requirements to design decisions and verification evidence. The Contractor shall analyze security consequences of design changes and present residual risks and engineering alternatives at [reviews].</w:t>
      </w:r>
    </w:p>
    <w:p>
      <w:pPr>
        <w:pStyle w:val="Heading2"/>
      </w:pPr>
      <w:r>
        <w:t>PWS outcome alternative</w:t>
      </w:r>
    </w:p>
    <w:p>
      <w:r>
        <w:t>The delivered design shall demonstrate that the agreed protection requirements are allocated, implemented, and verified for the specified operating environments. Each security-significant interface and trust boundary shall have a documented protection rationale, test method, and result for the delivered configuration.</w:t>
      </w:r>
    </w:p>
    <w:p>
      <w:pPr>
        <w:pStyle w:val="Heading2"/>
      </w:pPr>
      <w:r>
        <w:t>Deliverables</w:t>
      </w:r>
    </w:p>
    <w:p>
      <w:r>
        <w:t>[D04] Security requirements traceability matrix; [D05] security architecture and threat analysis; [D06] verification results and risk dispositions.</w:t>
      </w:r>
    </w:p>
    <w:p>
      <w:pPr>
        <w:pStyle w:val="Heading2"/>
      </w:pPr>
      <w:r>
        <w:t>Acceptance and surveillance</w:t>
      </w:r>
    </w:p>
    <w:p>
      <w:r>
        <w:t>Government checks traceability completeness, verifies that tests address the intended requirement, and reviews unresolved design weaknesses. A document that repeats control text without architecture-specific evidence does not meet the acceptance standard.</w:t>
      </w:r>
    </w:p>
    <w:p>
      <w:pPr>
        <w:pStyle w:val="Heading2"/>
      </w:pPr>
      <w:r>
        <w:t>Parameters to resolve</w:t>
      </w:r>
    </w:p>
    <w:p>
      <w:r>
        <w:t>Identify review gates, mission scenarios, safety constraints, technical standards, and who approves requirement changes. Specify whether cyber-resilience or adversarial testing is in scope and define rules of engagement separately.</w:t>
      </w:r>
    </w:p>
    <w:p>
      <w:r>
        <w:br w:type="page"/>
      </w:r>
    </w:p>
    <w:p>
      <w:pPr>
        <w:pStyle w:val="Heading1"/>
      </w:pPr>
      <w:r>
        <w:t>Supply chain risk management</w:t>
      </w:r>
    </w:p>
    <w:p>
      <w:pPr>
        <w:pStyle w:val="Heading2"/>
      </w:pPr>
      <w:r>
        <w:t>SOW task language</w:t>
      </w:r>
    </w:p>
    <w:p>
      <w:r>
        <w:t>The Contractor shall identify the critical components, software dependencies, services, and suppliers within [scope] and maintain evidence of provenance and lifecycle support. The Contractor shall assess risks to those dependencies, implement contractually assigned treatments, and notify [Government channel] of [defined material changes] within [period]. Supplier information and subcontract requirements shall be managed consistently with applicable contract terms.</w:t>
      </w:r>
    </w:p>
    <w:p>
      <w:pPr>
        <w:pStyle w:val="Heading2"/>
      </w:pPr>
      <w:r>
        <w:t>PWS outcome alternative</w:t>
      </w:r>
    </w:p>
    <w:p>
      <w:r>
        <w:t>The Contractor shall provide a traceable supply-chain record for each delivered baseline, identifying critical dependencies, evidence gaps, assessed risks, assigned treatments, and disposition of material supplier changes. No critical dependency shall be omitted solely because it is supplied by a lower-tier vendor.</w:t>
      </w:r>
    </w:p>
    <w:p>
      <w:pPr>
        <w:pStyle w:val="Heading2"/>
      </w:pPr>
      <w:r>
        <w:t>Deliverables</w:t>
      </w:r>
    </w:p>
    <w:p>
      <w:r>
        <w:t>[D07] Critical dependency and supplier register; [D08] risk assessment and treatment record; [D09] change and authenticity verification evidence.</w:t>
      </w:r>
    </w:p>
    <w:p>
      <w:pPr>
        <w:pStyle w:val="Heading2"/>
      </w:pPr>
      <w:r>
        <w:t>Acceptance and surveillance</w:t>
      </w:r>
    </w:p>
    <w:p>
      <w:r>
        <w:t>Government samples critical items against procurement and delivered-build records, checks provenance and version consistency, and verifies that identified risks have an accountable treatment or authorized disposition. Unknown supplier information is labeled unknown and supported by a collection or mitigation plan.</w:t>
      </w:r>
    </w:p>
    <w:p>
      <w:pPr>
        <w:pStyle w:val="Heading2"/>
      </w:pPr>
      <w:r>
        <w:t>Parameters to resolve</w:t>
      </w:r>
    </w:p>
    <w:p>
      <w:r>
        <w:t>Define criticality criteria, supplier tiers in scope, permitted disclosure protections, material-change triggers, and notification timing. Avoid requiring an infeasible absolute guarantee that the supply chain contains no risk.</w:t>
      </w:r>
    </w:p>
    <w:p>
      <w:r>
        <w:br w:type="page"/>
      </w:r>
    </w:p>
    <w:p>
      <w:pPr>
        <w:pStyle w:val="Heading1"/>
      </w:pPr>
      <w:r>
        <w:t>Software assurance and release evidence</w:t>
      </w:r>
    </w:p>
    <w:p>
      <w:pPr>
        <w:pStyle w:val="Heading2"/>
      </w:pPr>
      <w:r>
        <w:t>SOW task language</w:t>
      </w:r>
    </w:p>
    <w:p>
      <w:r>
        <w:t>The Contractor shall apply the secure development practices selected in [SSDF profile or attachment] throughout development and sustainment. The Contractor shall protect source and build environments; review code; assess applicable source, binary, dependency, and runtime weaknesses; triage findings; and verify corrections. Each software delivery shall include an SBOM in [agreed machine-readable format], build identification, integrity verification information, security test results, and known unresolved vulnerability dispositions.</w:t>
      </w:r>
    </w:p>
    <w:p>
      <w:pPr>
        <w:pStyle w:val="Heading2"/>
      </w:pPr>
      <w:r>
        <w:t>PWS outcome alternative</w:t>
      </w:r>
    </w:p>
    <w:p>
      <w:r>
        <w:t>Each delivered software release shall be identifiable and verifiable, with security evidence traceable to the exact delivered build and its dependencies. Findings exceeding [Government-defined release threshold] shall be corrected or receive the designated Government disposition before release acceptance. The evidence shall identify test scope, exclusions, tool versions, dates, and limits of the tests.</w:t>
      </w:r>
    </w:p>
    <w:p>
      <w:pPr>
        <w:pStyle w:val="Heading2"/>
      </w:pPr>
      <w:r>
        <w:t>Deliverables</w:t>
      </w:r>
    </w:p>
    <w:p>
      <w:r>
        <w:t>[D10] Secure development practice mapping; [D11] release assurance package including SBOM; [D12] vulnerability and verified correction record.</w:t>
      </w:r>
    </w:p>
    <w:p>
      <w:pPr>
        <w:pStyle w:val="Heading2"/>
      </w:pPr>
      <w:r>
        <w:t>Acceptance and surveillance</w:t>
      </w:r>
    </w:p>
    <w:p>
      <w:r>
        <w:t>Government validates that the SBOM matches the release, verifies package integrity, and reviews test coverage and dispositions against the agreed release criteria. An SBOM alone is not proof of secure software. Suppressed findings require documented justification; no test result is treated as proof that all vulnerabilities have been eliminated.</w:t>
      </w:r>
    </w:p>
    <w:p>
      <w:pPr>
        <w:pStyle w:val="Heading2"/>
      </w:pPr>
      <w:r>
        <w:t>Parameters to resolve</w:t>
      </w:r>
    </w:p>
    <w:p>
      <w:r>
        <w:t>Select applicable SSDF practices, test methods by technology and risk, severity definitions, exploitability review, release thresholds, vulnerability notification period, and sustainment response commitments. Define source-code or build-material delivery rights explicitly; do not assume unlimited rights.</w:t>
      </w:r>
    </w:p>
    <w:p>
      <w:r>
        <w:br w:type="page"/>
      </w:r>
    </w:p>
    <w:p>
      <w:pPr>
        <w:pStyle w:val="Heading1"/>
      </w:pPr>
      <w:r>
        <w:t>Performance standards and delivery schedule</w:t>
      </w:r>
    </w:p>
    <w:p>
      <w:r>
        <w:t>The following thresholds are proposed drafting defaults, not regulatory deadlines. Select achievable measures for the acquisition. Complete due dates and review periods before use. Maintain a separate Government quality assurance surveillance plan where required.</w:t>
      </w:r>
    </w:p>
    <w:tbl>
      <w:tblPr>
        <w:tblW w:type="auto" w:w="0"/>
        <w:tblLayout w:type="fixed"/>
        <w:tblLook w:firstColumn="1" w:firstRow="1" w:lastColumn="0" w:lastRow="0" w:noHBand="0" w:noVBand="1" w:val="04A0"/>
      </w:tblPr>
      <w:tblGrid>
        <w:gridCol w:w="2448"/>
        <w:gridCol w:w="3816"/>
        <w:gridCol w:w="3672"/>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Measure</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Proposed standard</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Assessment method</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Assigned requirement traceability</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100 percent mapped or expressly dispositioned</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Matrix review at each milestone</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Evidence applicability</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Every submitted item identifies build or configuration and date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Metadata review and sample reproduction</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Release finding disposition</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All findings above the selected threshold have correction or authorized disposition</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Release gate review</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Delivery timeliness</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By each contractually defined due date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Receipt log against schedule</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Correction turnaround</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Within [period] after consolidated Government comments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Resubmission and verification</w:t>
            </w:r>
          </w:p>
        </w:tc>
      </w:tr>
    </w:tbl>
    <w:p/>
    <w:p>
      <w:pPr>
        <w:pStyle w:val="Heading2"/>
      </w:pPr>
      <w:r>
        <w:t>Delivery schedule fields</w:t>
      </w:r>
    </w:p>
    <w:p>
      <w:r>
        <w:t>For each D01–D12 deliverable selected, assign: CDRL or contract attachment reference [ ]; initial delivery event and offset [ ]; update trigger [ ]; editable and machine-readable format [ ]; secure delivery location [ ]; Government reviewer [ ]; acceptance authority [ ]; Government review period [ ]; contractor correction period [ ]. The D identifiers above are local workbook labels, not official Data Item Description numbers.</w:t>
      </w:r>
    </w:p>
    <w:p>
      <w:pPr>
        <w:pStyle w:val="Heading2"/>
      </w:pPr>
      <w:r>
        <w:t>Government dependency and change handling</w:t>
      </w:r>
    </w:p>
    <w:p>
      <w:r>
        <w:t>The Contractor shall record Government-furnished information, access, infrastructure, and review dependencies in [schedule]. A dependency delay shall be reported through [contract channel] with affected work, mitigation options, and schedule impact. Changes to scope, price, or delivery dates require the applicable contracting action; technical coordination alone does not modify the contract.</w:t>
      </w:r>
    </w:p>
    <w:p>
      <w:r>
        <w:br w:type="page"/>
      </w:r>
    </w:p>
    <w:p>
      <w:pPr>
        <w:pStyle w:val="Heading1"/>
      </w:pPr>
      <w:r>
        <w:t>Safeguarding coordination and source references</w:t>
      </w:r>
    </w:p>
    <w:p>
      <w:pPr>
        <w:pStyle w:val="Heading2"/>
      </w:pPr>
      <w:r>
        <w:t>Contractor internal systems</w:t>
      </w:r>
    </w:p>
    <w:p>
      <w:r>
        <w:t>The requiring activity identifies the information the contractor will handle and the systems used to handle it. The contracting officer selects applicable safeguarding, assessment, cloud, incident-reporting, and CMMC provisions and clauses under their prescriptions and any applicable deviations. Do not replace their text with a custom SOW paraphrase or assume the newest NIST publication automatically changes an existing contract.</w:t>
      </w:r>
    </w:p>
    <w:p>
      <w:r>
        <w:t>For coordination language: The Contractor shall maintain the designated Government security and contract points of contact, map incident reporting duties to the applicable contract requirements, and provide the program coordination information specified in [attachment] through approved channels. Program notification does not replace required regulatory or contractual reporting, and Government preapproval is not required before a mandatory report is submitted.</w:t>
      </w:r>
    </w:p>
    <w:p>
      <w:pPr>
        <w:pStyle w:val="Heading2"/>
      </w:pPr>
      <w:r>
        <w:t>Publication and review checks</w:t>
      </w:r>
    </w:p>
    <w:p>
      <w:r>
        <w:t>Confirm the selected baseline and publication versions. Resolve all brackets. Align deliverables with data rights and CDRLs. Keep proposal evaluation factors separate from postaward acceptance measures. Confirm realistic Government review periods and contractor dependencies. Identify which requirements flow to subcontractors under the actual contract. Review the older DIB sample-language memorandum for context; do not transplant it as current mandatory wording.</w:t>
      </w:r>
    </w:p>
    <w:p>
      <w:pPr>
        <w:pStyle w:val="Heading2"/>
      </w:pPr>
      <w:r>
        <w:t>Source references</w:t>
      </w:r>
    </w:p>
    <w:p>
      <w:r>
        <w:rPr>
          <w:sz w:val="18"/>
        </w:rPr>
        <w:t>FAR 37.602 Performance work statement</w:t>
        <w:br/>
        <w:t>https://www.acquisition.gov/far/37.602</w:t>
      </w:r>
    </w:p>
    <w:p>
      <w:r>
        <w:rPr>
          <w:sz w:val="18"/>
        </w:rPr>
        <w:t>DFARS 252.204-7012 Safeguarding and cyber incident reporting</w:t>
        <w:br/>
        <w:t>https://www.acquisition.gov/dfars/252.204-7012-safeguarding-covered-defense-information-and-cyber-incident-reporting.</w:t>
      </w:r>
    </w:p>
    <w:p>
      <w:r>
        <w:rPr>
          <w:sz w:val="18"/>
        </w:rPr>
        <w:t>DFARS 204.7504 CMMC provision and clause prescription</w:t>
        <w:br/>
        <w:t>https://www.acquisition.gov/dfars/204.7504-solicitation-provision-and-contract-clause.</w:t>
      </w:r>
    </w:p>
    <w:p>
      <w:r>
        <w:rPr>
          <w:sz w:val="18"/>
        </w:rPr>
        <w:t>DPC safeguarding guidance and 17 December 2018 sample SOW memorandum</w:t>
        <w:br/>
        <w:t>https://www.acq.osd.mil/asda/dpc/cp/cyber/safeguarding.html</w:t>
      </w:r>
    </w:p>
    <w:p>
      <w:r>
        <w:rPr>
          <w:sz w:val="18"/>
        </w:rPr>
        <w:t>NIST SP 800-160 Vol 1 Rev 1 Engineering Trustworthy Secure Systems</w:t>
        <w:br/>
        <w:t>https://csrc.nist.gov/pubs/sp/800/160/v1/r1/final</w:t>
      </w:r>
    </w:p>
    <w:p>
      <w:r>
        <w:rPr>
          <w:sz w:val="18"/>
        </w:rPr>
        <w:t>NIST SP 800-218 SSDF Version 1.1</w:t>
        <w:br/>
        <w:t>https://csrc.nist.gov/pubs/sp/800/218/final</w:t>
      </w:r>
    </w:p>
    <w:p>
      <w:r>
        <w:rPr>
          <w:sz w:val="18"/>
        </w:rPr>
        <w:t>NIST SP 800-161 Rev 1 updated November 2024</w:t>
        <w:br/>
        <w:t>https://csrc.nist.gov/pubs/sp/800/161/r1/upd1/final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Acquisition drafting aid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