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Writing SSP Implementation Narratives</w:t>
      </w:r>
    </w:p>
    <w:p>
      <w:r>
        <w:t>Use this guide to write concise implementation narratives and assign responsible entities in eMASS. A useful narrative explains how the specific system meets the assigned requirement, who performs the work, and where supporting evidence can be examined. It must describe the actual implementation, including any gaps.</w:t>
      </w:r>
    </w:p>
    <w:p>
      <w:pPr>
        <w:pStyle w:val="Heading2"/>
      </w:pPr>
      <w:r>
        <w:t>Scope and character limit</w:t>
      </w:r>
    </w:p>
    <w:p>
      <w:r>
        <w:t>The three examples use the same control: RA-5, Vulnerability Monitoring and Scanning, from NIST SP 800-53 Rev. 5. The two good examples fit within the 2,000-character field limit supplied for this task. That limit is treated as your local constraint, not a claim about every eMASS version or field. Counts include spaces and punctuation in the narrative body, but exclude headings and teaching notes.</w:t>
      </w:r>
    </w:p>
    <w:p>
      <w:pPr>
        <w:pStyle w:val="Heading2"/>
      </w:pPr>
      <w:r>
        <w:t>Build the narrative in this order</w:t>
      </w:r>
    </w:p>
    <w:tbl>
      <w:tblPr>
        <w:tblW w:type="auto" w:w="0"/>
        <w:tblLayout w:type="fixed"/>
        <w:tblLook w:firstColumn="1" w:firstRow="1" w:lastColumn="0" w:lastRow="0" w:noHBand="0" w:noVBand="1" w:val="04A0"/>
      </w:tblPr>
      <w:tblGrid>
        <w:gridCol w:w="2376"/>
        <w:gridCol w:w="7560"/>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Include</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Answer for the actual system</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Which boundary, components, applications, and operating modes are covered?</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Responsible entities</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Which organizational role performs each action and which role oversees it?</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Mechanism</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What process, configuration, service, or tool capability implements the requirement?</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Timing and parameters</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What approved frequency, trigger, deadline, and defined value apply?</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Verification and evidence</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What records or tests demonstrate execution, and where are they linked?</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Gaps and dependencies</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What remains incomplete, inherited, shared, or dependent on another provider?</w:t>
            </w:r>
          </w:p>
        </w:tc>
      </w:tr>
    </w:tbl>
    <w:p/>
    <w:p>
      <w:pPr>
        <w:pStyle w:val="Heading2"/>
      </w:pPr>
      <w:r>
        <w:t>Start from the assigned requirement</w:t>
      </w:r>
    </w:p>
    <w:p>
      <w:r>
        <w:t>Read every applicable control statement, enhancement, assessment objective, and associated CCI in the system record. Draft against the level actually being documented. A base-control example is not automatically sufficient for every enhancement or CCI. Use the baseline revision and parameter values assigned to the system; do not substitute a generic catalog or copy another system’s claims.</w:t>
      </w:r>
    </w:p>
    <w:p>
      <w:r>
        <w:br w:type="page"/>
      </w:r>
    </w:p>
    <w:p>
      <w:pPr>
        <w:pStyle w:val="Heading1"/>
      </w:pPr>
      <w:r>
        <w:t>Example 1 Bad implementation narrative</w:t>
      </w:r>
    </w:p>
    <w:p>
      <w:r>
        <w:t>Illustrative weak entry. This is deliberately inadequate and should not be copied.</w:t>
      </w:r>
    </w:p>
    <w:p>
      <w:pPr>
        <w:pStyle w:val="Heading2"/>
      </w:pPr>
      <w:r>
        <w:t>Narrative body</w:t>
      </w:r>
    </w:p>
    <w:p>
      <w:r>
        <w:t>The system complies with RA-5. Vulnerability scans are performed regularly using approved tools. The ISSO ensures vulnerabilities are fixed in a timely manner. All personnel follow Army policy. See the vulnerability management plan for details.</w:t>
      </w:r>
    </w:p>
    <w:p>
      <w:pPr>
        <w:pStyle w:val="Heading2"/>
      </w:pPr>
      <w:r>
        <w:t>Why it fails</w:t>
      </w:r>
    </w:p>
    <w:tbl>
      <w:tblPr>
        <w:tblW w:type="auto" w:w="0"/>
        <w:tblLayout w:type="fixed"/>
        <w:tblLook w:firstColumn="1" w:firstRow="1" w:lastColumn="0" w:lastRow="0" w:noHBand="0" w:noVBand="1" w:val="04A0"/>
      </w:tblPr>
      <w:tblGrid>
        <w:gridCol w:w="2376"/>
        <w:gridCol w:w="7560"/>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Weakness</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What the reviewer cannot determine</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Compliance asserted</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How implementation works or what evidence supports the assertion.</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Regularly and timely</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The approved scan frequency, event triggers, or remediation response times.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scope omitted</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Whether infrastructure, hosted applications, and missed assets are covered.</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Tools unspecified</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Which capabilities support identification, analysis, and updating detection content.</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ISSO owns everything</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Who operates scanners, performs corrections, verifies closure, and oversees the process.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Unusable reference</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Which plan, version, sections, or artifact record to examine.</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No execution evidence</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Whether the documented process has actually been performed.</w:t>
            </w:r>
          </w:p>
        </w:tc>
      </w:tr>
    </w:tbl>
    <w:p/>
    <w:p>
      <w:pPr>
        <w:pStyle w:val="Heading2"/>
      </w:pPr>
      <w:r>
        <w:t>What to change</w:t>
      </w:r>
    </w:p>
    <w:p>
      <w:r>
        <w:t>Replace broad compliance language with observable actions. Use responsible roles, approved values, and system-specific coverage. Explain how results are analyzed, acted on, shared, and verified. If a plan is referenced, summarize the implementation in the field and identify the exact supporting sections and execution evidence.</w:t>
      </w:r>
    </w:p>
    <w:p>
      <w:pPr>
        <w:pStyle w:val="Heading2"/>
      </w:pPr>
      <w:r>
        <w:t>Do not convert an incomplete process into a success claim</w:t>
      </w:r>
    </w:p>
    <w:p>
      <w:r>
        <w:t>If scans do not cover every required component, identify the missing coverage and its effect. Distinguish activities performed today from work planned for a later date. Keep the narrative consistent with implementation status, assessment findings, and corrective-action records. A well-written statement does not change the underlying control’s effectiveness.</w:t>
      </w:r>
    </w:p>
    <w:p>
      <w:r>
        <w:br w:type="page"/>
      </w:r>
    </w:p>
    <w:p>
      <w:pPr>
        <w:pStyle w:val="Heading1"/>
      </w:pPr>
      <w:r>
        <w:t>Example 2 Good self contained narrative</w:t>
      </w:r>
    </w:p>
    <w:p>
      <w:r>
        <w:t>Fictional teaching scenario. All roles, schedules, response targets, records, and system details are illustrative. They are not Army-wide requirements or evidence about your portfolio. Use this language only after replacing the scenario with verified system facts.</w:t>
      </w:r>
    </w:p>
    <w:p>
      <w:pPr>
        <w:pStyle w:val="Heading2"/>
      </w:pPr>
      <w:r>
        <w:t>Narrative body</w:t>
      </w:r>
    </w:p>
    <w:p>
      <w:r>
        <w:t>For the fictional Training Support System (TSS), the Cyber Operations Team runs authenticated infrastructure scans each month against all inventoried servers, workstations, and network devices, and application scans against hosted applications. The team also evaluates new vulnerability notices on receipt and scans potentially affected assets. Before each scan, the operator updates detection content and reconciles targets and completed results with the boundary inventory; missed assets are recorded and rescheduled. The tools use CPE and CVE identifiers, SCAP-compatible checklists and test content, and CVSS scoring to support consistent analysis and exchange of results. The ISSO reviews results within two business days, validates applicability, and prioritizes confirmed findings using exploit activity, exposure, and mission impact. Administrators correct confirmed findings within the approved TSS targets of 15 calendar days for critical, 30 for high, and 90 for other findings, measured from validation; a shorter binding directive takes precedence. The ISSM escalates infeasible deadlines to the designated Government risk authority and records compensating measures and the authorized disposition. The Cyber Operations Team verifies corrections by rescanning before closure. The ISSO shares results and recurring weaknesses with the ISSM, administrators, and supporting CSSP so other affected systems can be addressed. Dated scan reports, inventory reconciliation, remediation tickets, and rescan results are linked to the RA-5 record in eMASS. Open weaknesses remain in the established POA&amp;M workflow until verified closure or other authorized disposition. The ISSM reviews coverage and overdue actions monthly.</w:t>
      </w:r>
    </w:p>
    <w:p>
      <w:r>
        <w:t>Character count: 1,726 of 2,000. Remaining capacity: 274. One paragraph; no embedded line breaks.</w:t>
      </w:r>
    </w:p>
    <w:p>
      <w:pPr>
        <w:pStyle w:val="Heading2"/>
      </w:pPr>
      <w:r>
        <w:t>Why this is stronger</w:t>
      </w:r>
    </w:p>
    <w:p>
      <w:r>
        <w:t>The entry names the covered assets, performing and oversight roles, scan triggers, interoperable tool capabilities, analysis process, response values, sharing recipients, and closure evidence. It can be understood without opening a separate operating plan. Evidence references still support assessment; self contained does not mean evidence free.</w:t>
      </w:r>
    </w:p>
    <w:p>
      <w:r>
        <w:t>The example includes authenticated scanning as a fictional implementation choice. Validate any applicable privileged-scanning enhancement separately. Its remediation clock and severity targets are scenario assumptions that must be replaced by the approved parameters and binding directives for the actual system.</w:t>
      </w:r>
    </w:p>
    <w:p>
      <w:r>
        <w:br w:type="page"/>
      </w:r>
    </w:p>
    <w:p>
      <w:pPr>
        <w:pStyle w:val="Heading1"/>
      </w:pPr>
      <w:r>
        <w:t>Example 3 Good narrative with an artifact reference</w:t>
      </w:r>
    </w:p>
    <w:p>
      <w:r>
        <w:t>The system and operating facts match Example 2. The plan title, version, date, section numbers, and artifact IDs below are fictional examples of a precise reference. They do not describe the numbering or approval status of the earlier draft template pack.</w:t>
      </w:r>
    </w:p>
    <w:p>
      <w:pPr>
        <w:pStyle w:val="Heading2"/>
      </w:pPr>
      <w:r>
        <w:t>Narrative body</w:t>
      </w:r>
    </w:p>
    <w:p>
      <w:r>
        <w:t>For the fictional Training Support System (TSS), the Cyber Operations Team implements RA-5 using the TSS Vulnerability and Patch Management Plan, v1.0, 15 October 2026, sections 3-6, eMASS artifact TSS-VMP-001. Section 3 defines monthly authenticated infrastructure scans and hosted-application scans, plus scans when newly reported vulnerabilities may affect TSS. The team updates detection content before scanning, reconciles coverage with the boundary inventory, and records missed assets for follow-up. Section 4 identifies CPE/CVE, SCAP-compatible checklist and test content, and CVSS capabilities used to standardize results. The ISSO reviews reports within two business days and prioritizes confirmed findings by exposure, exploit activity, and mission impact. Section 5 sets the approved TSS response targets: critical 15, high 30, and other findings 90 calendar days from validation; shorter binding directives take precedence. Administrators perform corrections; the ISSM elevates infeasible deadlines to the designated Government risk authority and records approved mitigations and dispositions. The Cyber Operations Team rescans to verify corrections before closure. Under section 6, the ISSO shares findings and recurring weaknesses with the ISSM, administrators, and supporting CSSP; the ISSM reviews coverage and overdue actions monthly. Execution evidence is linked to RA-5: TSS-SCAN-2026-10, TSS-COVERAGE-2026-10, and the associated remediation and rescan records. The plan establishes the procedure; these records demonstrate its execution. Open weaknesses remain in the established POA&amp;M workflow. The ISSO maintains the plan version and evidence links in eMASS.</w:t>
      </w:r>
    </w:p>
    <w:p>
      <w:r>
        <w:t>Character count: 1,681 of 2,000. Remaining capacity: 319. One paragraph; no embedded line breaks.</w:t>
      </w:r>
    </w:p>
    <w:p>
      <w:pPr>
        <w:pStyle w:val="Heading2"/>
      </w:pPr>
      <w:r>
        <w:t>What makes the reference useful</w:t>
      </w:r>
    </w:p>
    <w:p>
      <w:r>
        <w:t>The field still explains the local implementation and responsible roles. The title, version, date, sections, and artifact ID identify the governing procedure. Separate scan, coverage, and correction records support the claim that the procedure is executed. Confirm that reviewers can access those artifacts and that they apply to the assessed system configuration.</w:t>
      </w:r>
    </w:p>
    <w:p>
      <w:r>
        <w:t>A reference to a plan alone may demonstrate documented intent, but does not establish operational effectiveness. Assessors may also examine records, interview personnel, and test the implementation. Update the narrative when the plan, responsibilities, configuration, or evidence location changes.</w:t>
      </w:r>
    </w:p>
    <w:p>
      <w:r>
        <w:br w:type="page"/>
      </w:r>
    </w:p>
    <w:p>
      <w:pPr>
        <w:pStyle w:val="Heading1"/>
      </w:pPr>
      <w:r>
        <w:t>Writing the Responsible Entities field</w:t>
      </w:r>
    </w:p>
    <w:p>
      <w:r>
        <w:t>Identify the organization and role that actually performs or oversees implementation. Align the entry with the narrative, appointment records, provider agreements, and the system’s responsibility assignments. Use the exact available entity names if your eMASS configuration provides structured selections; if it permits free text, include concise role-to-action descriptions.</w:t>
      </w:r>
    </w:p>
    <w:p>
      <w:pPr>
        <w:pStyle w:val="Heading2"/>
      </w:pPr>
      <w:r>
        <w:t>Suggested entry for the fictional examples</w:t>
      </w:r>
    </w:p>
    <w:p>
      <w:r>
        <w:t>TSS Cyber Operations Team - scanning, detection-content updates, coverage reconciliation, and verification scans; TSS ISSO - analysis, tracking, and sharing; TSS System Administrators - remediation; TSS ISSM - oversight and escalation.</w:t>
      </w:r>
    </w:p>
    <w:p>
      <w:pPr>
        <w:pStyle w:val="Heading2"/>
      </w:pPr>
      <w:r>
        <w:t>How to allocate responsibility</w:t>
      </w:r>
    </w:p>
    <w:tbl>
      <w:tblPr>
        <w:tblW w:type="auto" w:w="0"/>
        <w:tblLayout w:type="fixed"/>
        <w:tblLook w:firstColumn="1" w:firstRow="1" w:lastColumn="0" w:lastRow="0" w:noHBand="0" w:noVBand="1" w:val="04A0"/>
      </w:tblPr>
      <w:tblGrid>
        <w:gridCol w:w="2736"/>
        <w:gridCol w:w="7200"/>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Entity or role</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What to identify</w:t>
            </w:r>
          </w:p>
        </w:tc>
      </w:tr>
      <w:tr>
        <w:trPr>
          <w:cantSplit/>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Local operator</w:t>
            </w:r>
          </w:p>
        </w:tc>
        <w:tc>
          <w:tcPr>
            <w:tcW w:type="dxa" w:w="72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The team that configures or operates the mechanism and produces evidence.</w:t>
            </w:r>
          </w:p>
        </w:tc>
      </w:tr>
      <w:tr>
        <w:trPr>
          <w:cantSplit/>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Local administrator</w:t>
            </w:r>
          </w:p>
        </w:tc>
        <w:tc>
          <w:tcPr>
            <w:tcW w:type="dxa" w:w="72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The role that implements changes or performs corrective actions.</w:t>
            </w:r>
          </w:p>
        </w:tc>
      </w:tr>
      <w:tr>
        <w:trPr>
          <w:cantSplit/>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ISSO or control coordinator</w:t>
            </w:r>
          </w:p>
        </w:tc>
        <w:tc>
          <w:tcPr>
            <w:tcW w:type="dxa" w:w="72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The actual coordination, analysis, and evidence duties assigned locally.</w:t>
            </w:r>
          </w:p>
        </w:tc>
      </w:tr>
      <w:tr>
        <w:trPr>
          <w:cantSplit/>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ISSM or designated owner</w:t>
            </w:r>
          </w:p>
        </w:tc>
        <w:tc>
          <w:tcPr>
            <w:tcW w:type="dxa" w:w="72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The assigned oversight, review, and escalation responsibilities.</w:t>
            </w:r>
          </w:p>
        </w:tc>
      </w:tr>
      <w:tr>
        <w:trPr>
          <w:cantSplit/>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Common control provider</w:t>
            </w:r>
          </w:p>
        </w:tc>
        <w:tc>
          <w:tcPr>
            <w:tcW w:type="dxa" w:w="72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The named provider and exact inherited duties, with evidence of coverage.</w:t>
            </w:r>
          </w:p>
        </w:tc>
      </w:tr>
      <w:tr>
        <w:trPr>
          <w:cantSplit/>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Contractor team</w:t>
            </w:r>
          </w:p>
        </w:tc>
        <w:tc>
          <w:tcPr>
            <w:tcW w:type="dxa" w:w="72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The performing organization or contract role and its Government oversight relationship.</w:t>
            </w:r>
          </w:p>
        </w:tc>
      </w:tr>
    </w:tbl>
    <w:p/>
    <w:p>
      <w:pPr>
        <w:pStyle w:val="Heading2"/>
      </w:pPr>
      <w:r>
        <w:t>Distinguish responsibility from notification and approval</w:t>
      </w:r>
    </w:p>
    <w:p>
      <w:r>
        <w:t>In these examples the supporting CSSP receives shared findings. That does not by itself make the CSSP responsible for scanning or remediation. Likewise, the AO or designated risk authority makes authorized risk decisions; do not list that official as the scanner operator or routine implementer. A product name is a mechanism, not a responsible entity.</w:t>
      </w:r>
    </w:p>
    <w:p>
      <w:pPr>
        <w:pStyle w:val="Heading2"/>
      </w:pPr>
      <w:r>
        <w:t>Shared and inherited implementation</w:t>
      </w:r>
    </w:p>
    <w:p>
      <w:r>
        <w:t>For a shared control, identify provider duties and remaining local duties separately. Do not write “inherited” as a substitute for verifying scope, provider coverage, and local dependencies. Include individual names or contact details only where the field or local procedure calls for them; roles should remain traceable when personnel change.</w:t>
      </w:r>
    </w:p>
    <w:p>
      <w:r>
        <w:br w:type="page"/>
      </w:r>
    </w:p>
    <w:p>
      <w:pPr>
        <w:pStyle w:val="Heading1"/>
      </w:pPr>
      <w:r>
        <w:t>Review checklist and source basis</w:t>
      </w:r>
    </w:p>
    <w:p>
      <w:pPr>
        <w:pStyle w:val="Heading2"/>
      </w:pPr>
      <w:r>
        <w:t>Before saving the narrative</w:t>
      </w:r>
    </w:p>
    <w:p>
      <w:r>
        <w:t>☐ Every applicable statement and assigned parameter is addressed at the level being documented.</w:t>
      </w:r>
    </w:p>
    <w:p>
      <w:r>
        <w:t>☐ The entry describes verified current behavior and clearly distinguishes planned work or known gaps.</w:t>
      </w:r>
    </w:p>
    <w:p>
      <w:r>
        <w:t>☐ Responsible entities match the roles and actions in the narrative.</w:t>
      </w:r>
    </w:p>
    <w:p>
      <w:r>
        <w:t>☐ Inherited and shared responsibilities have identifiable providers and remaining local duties.</w:t>
      </w:r>
    </w:p>
    <w:p>
      <w:r>
        <w:t>☐ Artifact references identify the exact document and relevant sections; evidence shows execution.</w:t>
      </w:r>
    </w:p>
    <w:p>
      <w:r>
        <w:t>☐ Frequencies and deadlines come from approved requirements, not from this guide’s fictional examples.</w:t>
      </w:r>
    </w:p>
    <w:p>
      <w:r>
        <w:t>☐ The final pasted narrative is no longer than 2,000 characters, including spaces and punctuation.</w:t>
      </w:r>
    </w:p>
    <w:p>
      <w:r>
        <w:t>☐ The saved field has been reopened to check for truncation, formatting changes, and working references.</w:t>
      </w:r>
    </w:p>
    <w:p>
      <w:pPr>
        <w:pStyle w:val="Heading2"/>
      </w:pPr>
      <w:r>
        <w:t>Character counting method</w:t>
      </w:r>
    </w:p>
    <w:p>
      <w:r>
        <w:t>The two example counts were calculated programmatically from the exact single-paragraph text printed under each Narrative body heading. The examples use plain ASCII text, so Unicode code-point and UTF-16 character counts agree. In Word, select only the narrative and check Characters with spaces. Recount after replacing system names, parameters, or artifact references; extra line breaks and pasted formatting can affect the field.</w:t>
      </w:r>
    </w:p>
    <w:p>
      <w:r>
        <w:t>As a practical drafting target, aim below the maximum rather than filling it. Preserve implementation facts first; remove repeated policy introductions and unsupported compliance claims. Move detailed operating steps into a controlled artifact while keeping the essential how, who, scope, timing, and evidence in the narrative.</w:t>
      </w:r>
    </w:p>
    <w:p>
      <w:pPr>
        <w:pStyle w:val="Heading2"/>
      </w:pPr>
      <w:r>
        <w:t>Source basis and limits</w:t>
      </w:r>
    </w:p>
    <w:p>
      <w:r>
        <w:t>NIST SP 800-53 PL-2 addresses system plans; RA-5 supplies the control context for this guide. NIST SP 800-53A supports examination, interview, and testing of control implementation. NIST SP 800-37 Appendix F permits supporting documents to be referenced by security plans. The writing structure, responsibility example, and fictional operating values are instructional recommendations, not official eMASS field instructions.</w:t>
      </w:r>
    </w:p>
    <w:p>
      <w:pPr>
        <w:pStyle w:val="Heading2"/>
      </w:pPr>
      <w:r>
        <w:t>Source references</w:t>
      </w:r>
    </w:p>
    <w:p>
      <w:r>
        <w:rPr>
          <w:sz w:val="18"/>
        </w:rPr>
        <w:t>NIST SP 800-53 Rev 5 control catalog and release updates</w:t>
        <w:br/>
        <w:t>https://csrc.nist.gov/pubs/sp/800/53/r5/upd1/final</w:t>
      </w:r>
    </w:p>
    <w:p>
      <w:r>
        <w:rPr>
          <w:sz w:val="18"/>
        </w:rPr>
        <w:t>NIST SP 800-37 Rev 2 Appendix F</w:t>
        <w:br/>
        <w:t>https://csrc.nist.gov/pubs/sp/800/37/r2/final</w:t>
      </w:r>
    </w:p>
    <w:p>
      <w:r>
        <w:t>NIST SP 800-53A Rev 5 and release updates</w:t>
        <w:br/>
        <w:t>https://csrc.nist.gov/pubs/sp/800/53/a/r5/final</w:t>
      </w:r>
    </w:p>
    <w:p>
      <w:r>
        <w:t>Source review: 28 October 2026. Apply the system’s assigned baseline, current Army guidance, and local eMASS procedures. This document makes no determination that the fictional implementation satisfies an actual system assessment.</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Workforce writing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