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Impact Analysis Guide</w:t>
      </w:r>
    </w:p>
    <w:p>
      <w:r>
        <w:t>Use this guide to explain how a proposed system change affects cybersecurity and privacy, identify the evidence needed before implementation, and support the appropriate Army change and authorization decisions. The companion PowerPoint provides an editable briefing structure for the same analysis.</w:t>
      </w:r>
    </w:p>
    <w:p>
      <w:r>
        <w:t>Draft v0.1 for local review • 28 October 2026. Intended readers are system owners, ISSMs, ISSOs, ISSEs, engineers, assessors, and configuration control boards. Bracketed fields require local completion. The worked example is fictional.</w:t>
      </w:r>
    </w:p>
    <w:p>
      <w:pPr>
        <w:pStyle w:val="Heading2"/>
      </w:pPr>
      <w:r>
        <w:t>Purpose and boundaries</w:t>
      </w:r>
    </w:p>
    <w:p>
      <w:r>
        <w:t>A security impact analysis links a specific change to its effect on the system’s controls and mission risk. Begin while the change is being proposed, refine the analysis as the design and test results develop, and verify the actual effects after deployment. Record both degraded and improved protections. [1]</w:t>
      </w:r>
    </w:p>
    <w:p>
      <w:r>
        <w:t>Use the assigned control baseline and current command and AO procedures. The workflow and worksheets in this guide are recommended job aids, not a new Army approval policy. The local configuration management plan establishes routing, delegated authority, emergency handling, and any documented exclusions. A completed briefing does not itself authorize implementation or accept risk.</w:t>
      </w:r>
    </w:p>
    <w:p>
      <w:pPr>
        <w:pStyle w:val="Heading2"/>
      </w:pPr>
      <w:r>
        <w:t>Relationship to the existing artifact package</w:t>
      </w:r>
    </w:p>
    <w:p>
      <w:r>
        <w:t>Reference the Configuration Management Plan for change control, the Vulnerability and Patch Management Plan for remediation, the Continuous Monitoring Plan for follow-up, and the Contingency and Recovery Plan for restoration. Update the existing eMASS record and generated SSP where the implementation changes. Track unresolved deficiencies in the tool’s existing POA&amp;M workflow. Do not create parallel SSP or POA&amp;M documents.</w:t>
      </w:r>
    </w:p>
    <w:tbl>
      <w:tblPr>
        <w:tblW w:type="auto" w:w="0"/>
        <w:tblLayout w:type="fixed"/>
        <w:tblLook w:firstColumn="1" w:firstRow="1" w:lastColumn="0" w:lastRow="0" w:noHBand="0" w:noVBand="1" w:val="04A0"/>
      </w:tblPr>
      <w:tblGrid>
        <w:gridCol w:w="5328"/>
        <w:gridCol w:w="4608"/>
      </w:tblGrid>
      <w:tr>
        <w:trPr>
          <w:cantSplit/>
          <w:tblHeader/>
        </w:trPr>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EDEFE2"/>
          </w:tcPr>
          <w:p>
            <w:pPr>
              <w:spacing w:after="60" w:before="20"/>
            </w:pPr>
            <w:r>
              <w:rPr>
                <w:b/>
                <w:sz w:val="20"/>
              </w:rPr>
              <w:t>Guide sections</w:t>
            </w:r>
          </w:p>
        </w:tc>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EDEFE2"/>
          </w:tcPr>
          <w:p>
            <w:pPr>
              <w:spacing w:after="60" w:before="20"/>
            </w:pPr>
            <w:r>
              <w:rPr>
                <w:b/>
                <w:sz w:val="20"/>
              </w:rPr>
              <w:t>Companion briefing</w:t>
            </w:r>
          </w:p>
        </w:tc>
      </w:tr>
      <w:tr>
        <w:trPr>
          <w:cantSplit/>
        </w:trPr>
        <w:tc>
          <w:tcPr>
            <w:tcW w:type="dxa" w:w="532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Scope and responsibilities</w:t>
            </w:r>
          </w:p>
        </w:tc>
        <w:tc>
          <w:tcPr>
            <w:tcW w:type="dxa" w:w="460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Slides 1–3</w:t>
            </w:r>
          </w:p>
        </w:tc>
      </w:tr>
      <w:tr>
        <w:trPr>
          <w:cantSplit/>
        </w:trPr>
        <w:tc>
          <w:tcPr>
            <w:tcW w:type="dxa" w:w="532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Control effects and risk</w:t>
            </w:r>
          </w:p>
        </w:tc>
        <w:tc>
          <w:tcPr>
            <w:tcW w:type="dxa" w:w="460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Slides 4–5</w:t>
            </w:r>
          </w:p>
        </w:tc>
      </w:tr>
      <w:tr>
        <w:trPr>
          <w:cantSplit/>
        </w:trPr>
        <w:tc>
          <w:tcPr>
            <w:tcW w:type="dxa" w:w="532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Testing and implementation</w:t>
            </w:r>
          </w:p>
        </w:tc>
        <w:tc>
          <w:tcPr>
            <w:tcW w:type="dxa" w:w="460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Slides 6–7</w:t>
            </w:r>
          </w:p>
        </w:tc>
      </w:tr>
      <w:tr>
        <w:trPr>
          <w:cantSplit/>
        </w:trPr>
        <w:tc>
          <w:tcPr>
            <w:tcW w:type="dxa" w:w="532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Decisions and closure</w:t>
            </w:r>
          </w:p>
        </w:tc>
        <w:tc>
          <w:tcPr>
            <w:tcW w:type="dxa" w:w="460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Slides 8–9</w:t>
            </w:r>
          </w:p>
        </w:tc>
      </w:tr>
      <w:tr>
        <w:trPr>
          <w:cantSplit/>
        </w:trPr>
        <w:tc>
          <w:tcPr>
            <w:tcW w:type="dxa" w:w="532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Worked example and quality review</w:t>
            </w:r>
          </w:p>
        </w:tc>
        <w:tc>
          <w:tcPr>
            <w:tcW w:type="dxa" w:w="460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Slides 10–11</w:t>
            </w:r>
          </w:p>
        </w:tc>
      </w:tr>
      <w:tr>
        <w:trPr>
          <w:cantSplit/>
        </w:trPr>
        <w:tc>
          <w:tcPr>
            <w:tcW w:type="dxa" w:w="532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References</w:t>
            </w:r>
          </w:p>
        </w:tc>
        <w:tc>
          <w:tcPr>
            <w:tcW w:type="dxa" w:w="460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Slide 12</w:t>
            </w:r>
          </w:p>
        </w:tc>
      </w:tr>
    </w:tbl>
    <w:p/>
    <w:p>
      <w:pPr>
        <w:pStyle w:val="Heading2"/>
      </w:pPr>
      <w:r>
        <w:t>Local document control</w:t>
      </w:r>
    </w:p>
    <w:p>
      <w:r>
        <w:t>Owner [CSO knowledge manager]. Technical reviewer [ISSM and lead engineer]. Approval authority [designated local authority]. Effective date [after approval]. Next review [date or trigger]. Related artifacts [change record and local plans]. Supersedes [none or prior version]. This draft has no implied approval.</w:t>
      </w:r>
    </w:p>
    <w:p>
      <w:r>
        <w:br w:type="page"/>
      </w:r>
    </w:p>
    <w:p>
      <w:pPr>
        <w:pStyle w:val="Heading1"/>
      </w:pPr>
      <w:r>
        <w:t>1 Scope and responsibilities</w:t>
      </w:r>
    </w:p>
    <w:p>
      <w:pPr>
        <w:pStyle w:val="Heading2"/>
      </w:pPr>
      <w:r>
        <w:t>Change intake</w:t>
      </w:r>
    </w:p>
    <w:p>
      <w:r>
        <w:t>Assign a change identifier and name the system, eMASS identifier, authorization boundary, current authorization conditions, and baseline version. Describe the current and proposed states precisely enough for another reviewer to reproduce the comparison. Include versions, affected components, interfaces, users, hosting, data types, and operational dependencies. Identify the mission need and the consequence of deferring the change.</w:t>
      </w:r>
    </w:p>
    <w:p>
      <w:r>
        <w:t>For a routine patch, scope may be narrow but should still address changed services, configuration resets, compatibility, and security functions. For a new external interface, cloud migration, supplier change, or identity redesign, examine affected trust relationships and inheritance. A vendor’s description of a change as minor does not establish its authorization significance.</w:t>
      </w:r>
    </w:p>
    <w:tbl>
      <w:tblPr>
        <w:tblW w:type="auto" w:w="0"/>
        <w:tblLayout w:type="fixed"/>
        <w:tblLook w:firstColumn="1" w:firstRow="1" w:lastColumn="0" w:lastRow="0" w:noHBand="0" w:noVBand="1" w:val="04A0"/>
      </w:tblPr>
      <w:tblGrid>
        <w:gridCol w:w="2448"/>
        <w:gridCol w:w="7488"/>
      </w:tblGrid>
      <w:tr>
        <w:trPr>
          <w:cantSplit/>
          <w:tblHeader/>
        </w:trPr>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EDEFE2"/>
          </w:tcPr>
          <w:p>
            <w:pPr>
              <w:spacing w:after="60" w:before="20"/>
            </w:pPr>
            <w:r>
              <w:rPr>
                <w:b/>
                <w:sz w:val="20"/>
              </w:rPr>
              <w:t>Role</w:t>
            </w:r>
          </w:p>
        </w:tc>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EDEFE2"/>
          </w:tcPr>
          <w:p>
            <w:pPr>
              <w:spacing w:after="60" w:before="20"/>
            </w:pPr>
            <w:r>
              <w:rPr>
                <w:b/>
                <w:sz w:val="20"/>
              </w:rPr>
              <w:t>Recommended responsibility to confirm locally</w:t>
            </w:r>
          </w:p>
        </w:tc>
      </w:tr>
      <w:tr>
        <w:trPr>
          <w:cantSplit/>
        </w:trPr>
        <w:tc>
          <w:tcPr>
            <w:tcW w:type="dxa" w:w="24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Change owner or engineer</w:t>
            </w:r>
          </w:p>
        </w:tc>
        <w:tc>
          <w:tcPr>
            <w:tcW w:type="dxa" w:w="748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Defines the delta and supplies designs, test plans, deployment steps, and rollback evidence.</w:t>
            </w:r>
          </w:p>
        </w:tc>
      </w:tr>
      <w:tr>
        <w:trPr>
          <w:cantSplit/>
        </w:trPr>
        <w:tc>
          <w:tcPr>
            <w:tcW w:type="dxa" w:w="24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ISSO and ISSE</w:t>
            </w:r>
          </w:p>
        </w:tc>
        <w:tc>
          <w:tcPr>
            <w:tcW w:type="dxa" w:w="748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Analyze affected implementations, threat paths, technical safeguards, and evidence gaps.</w:t>
            </w:r>
          </w:p>
        </w:tc>
      </w:tr>
      <w:tr>
        <w:trPr>
          <w:cantSplit/>
        </w:trPr>
        <w:tc>
          <w:tcPr>
            <w:tcW w:type="dxa" w:w="24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ISSM</w:t>
            </w:r>
          </w:p>
        </w:tc>
        <w:tc>
          <w:tcPr>
            <w:tcW w:type="dxa" w:w="748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Coordinates cybersecurity review, validates completeness, and routes issues through the command process.</w:t>
            </w:r>
          </w:p>
        </w:tc>
      </w:tr>
      <w:tr>
        <w:trPr>
          <w:cantSplit/>
        </w:trPr>
        <w:tc>
          <w:tcPr>
            <w:tcW w:type="dxa" w:w="24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System owner or PM</w:t>
            </w:r>
          </w:p>
        </w:tc>
        <w:tc>
          <w:tcPr>
            <w:tcW w:type="dxa" w:w="748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Explains mission impact, resources mitigation, and sponsors the change request.</w:t>
            </w:r>
          </w:p>
        </w:tc>
      </w:tr>
      <w:tr>
        <w:trPr>
          <w:cantSplit/>
        </w:trPr>
        <w:tc>
          <w:tcPr>
            <w:tcW w:type="dxa" w:w="24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SCA or designated assessor</w:t>
            </w:r>
          </w:p>
        </w:tc>
        <w:tc>
          <w:tcPr>
            <w:tcW w:type="dxa" w:w="748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Coordinates assessment scope and independent review when required by the authorization process.</w:t>
            </w:r>
          </w:p>
        </w:tc>
      </w:tr>
      <w:tr>
        <w:trPr>
          <w:cantSplit/>
        </w:trPr>
        <w:tc>
          <w:tcPr>
            <w:tcW w:type="dxa" w:w="24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CCB or designated change authority</w:t>
            </w:r>
          </w:p>
        </w:tc>
        <w:tc>
          <w:tcPr>
            <w:tcW w:type="dxa" w:w="748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Makes the configuration change decision within its assigned authority and records conditions.</w:t>
            </w:r>
          </w:p>
        </w:tc>
      </w:tr>
      <w:tr>
        <w:trPr>
          <w:cantSplit/>
        </w:trPr>
        <w:tc>
          <w:tcPr>
            <w:tcW w:type="dxa" w:w="24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AO or authorized delegate</w:t>
            </w:r>
          </w:p>
        </w:tc>
        <w:tc>
          <w:tcPr>
            <w:tcW w:type="dxa" w:w="748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Makes authorization and residual-risk decisions within documented authority. AODR participation follows actual delegation.</w:t>
            </w:r>
          </w:p>
        </w:tc>
      </w:tr>
      <w:tr>
        <w:trPr>
          <w:cantSplit/>
        </w:trPr>
        <w:tc>
          <w:tcPr>
            <w:tcW w:type="dxa" w:w="24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Common control provider and privacy official</w:t>
            </w:r>
          </w:p>
        </w:tc>
        <w:tc>
          <w:tcPr>
            <w:tcW w:type="dxa" w:w="748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Confirm inherited-service effects and privacy review where applicable.</w:t>
            </w:r>
          </w:p>
        </w:tc>
      </w:tr>
    </w:tbl>
    <w:p/>
    <w:p>
      <w:pPr>
        <w:pStyle w:val="Heading2"/>
      </w:pPr>
      <w:r>
        <w:t>Recommended record of the initial review</w:t>
      </w:r>
    </w:p>
    <w:p>
      <w:r>
        <w:t>Record [change ID], [baseline], [analyst], [date], [scope], [applicable local procedure], [analysis depth and rationale], [needed reviewers], and [decision route]. If an exclusion applies, cite the exact approved provision and show that this change stays within it. Resolve uncertainty through the designated authority before proceeding.</w:t>
      </w:r>
    </w:p>
    <w:p>
      <w:r>
        <w:br w:type="page"/>
      </w:r>
    </w:p>
    <w:p>
      <w:pPr>
        <w:pStyle w:val="Heading1"/>
      </w:pPr>
      <w:r>
        <w:t>2 Control effects and risk</w:t>
      </w:r>
    </w:p>
    <w:p>
      <w:pPr>
        <w:pStyle w:val="Heading2"/>
      </w:pPr>
      <w:r>
        <w:t>Analysis questions</w:t>
      </w:r>
    </w:p>
    <w:p>
      <w:r>
        <w:t>Compare data flows and trust boundaries before and after the change. Identify new external access, privileged operations, service accounts, protocols, ports, remote maintenance, storage locations, encryption dependencies, and logging paths. Check whether the change affects identity verification, access enforcement, security tooling, backups, recovery, or mission availability.</w:t>
      </w:r>
    </w:p>
    <w:p>
      <w:r>
        <w:t>Determine whether data sensitivity, privacy processing, categorization assumptions, interconnected-system responsibilities, or common-control inheritance changes. Ask the provider to substantiate continued coverage. For software or supplier changes, examine provenance, component dependencies, known vulnerabilities, support status, update mechanisms, and available software assurance evidence. Use the relevant plan as context and record the actual system effect.</w:t>
      </w:r>
    </w:p>
    <w:p>
      <w:pPr>
        <w:pStyle w:val="Heading2"/>
      </w:pPr>
      <w:r>
        <w:t>Control impact worksheet</w:t>
      </w:r>
    </w:p>
    <w:tbl>
      <w:tblPr>
        <w:tblW w:type="auto" w:w="0"/>
        <w:tblLayout w:type="fixed"/>
        <w:tblLook w:firstColumn="1" w:firstRow="1" w:lastColumn="0" w:lastRow="0" w:noHBand="0" w:noVBand="1" w:val="04A0"/>
      </w:tblPr>
      <w:tblGrid>
        <w:gridCol w:w="3168"/>
        <w:gridCol w:w="4176"/>
        <w:gridCol w:w="2592"/>
      </w:tblGrid>
      <w:tr>
        <w:trPr>
          <w:cantSplit/>
          <w:tblHeader/>
        </w:trPr>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EDEFE2"/>
          </w:tcPr>
          <w:p>
            <w:pPr>
              <w:spacing w:after="60" w:before="20"/>
            </w:pPr>
            <w:r>
              <w:rPr>
                <w:b/>
                <w:sz w:val="20"/>
              </w:rPr>
              <w:t>Control and current state</w:t>
            </w:r>
          </w:p>
        </w:tc>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EDEFE2"/>
          </w:tcPr>
          <w:p>
            <w:pPr>
              <w:spacing w:after="60" w:before="20"/>
            </w:pPr>
            <w:r>
              <w:rPr>
                <w:b/>
                <w:sz w:val="20"/>
              </w:rPr>
              <w:t>Proposed effect and evidence</w:t>
            </w:r>
          </w:p>
        </w:tc>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EDEFE2"/>
          </w:tcPr>
          <w:p>
            <w:pPr>
              <w:spacing w:after="60" w:before="20"/>
            </w:pPr>
            <w:r>
              <w:rPr>
                <w:b/>
                <w:sz w:val="20"/>
              </w:rPr>
              <w:t>Disposition</w:t>
            </w:r>
          </w:p>
        </w:tc>
      </w:tr>
      <w:tr>
        <w:trPr>
          <w:cantSplit/>
        </w:trPr>
        <w:tc>
          <w:tcPr>
            <w:tcW w:type="dxa" w:w="31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[Control ID and enhancement]</w:t>
              <w:br/>
              <w:t>[Current implementation and source]</w:t>
            </w:r>
          </w:p>
        </w:tc>
        <w:tc>
          <w:tcPr>
            <w:tcW w:type="dxa" w:w="41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[What changes, including dependencies]</w:t>
              <w:br/>
              <w:t>[Test or artifact ID, version, section, date]</w:t>
            </w:r>
          </w:p>
        </w:tc>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[Effective / degraded / unknown]</w:t>
              <w:br/>
              <w:t>[Owner and next step]</w:t>
            </w:r>
          </w:p>
        </w:tc>
      </w:tr>
      <w:tr>
        <w:trPr>
          <w:cantSplit/>
        </w:trPr>
        <w:tc>
          <w:tcPr>
            <w:tcW w:type="dxa" w:w="31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Illustrative AU-12</w:t>
              <w:br/>
              <w:t>Events reach the approved collector</w:t>
            </w:r>
          </w:p>
        </w:tc>
        <w:tc>
          <w:tcPr>
            <w:tcW w:type="dxa" w:w="41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Replacement forwarder may omit failed logons</w:t>
              <w:br/>
              <w:t>Compare event generation and collector receipt</w:t>
            </w:r>
          </w:p>
        </w:tc>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Unknown until test</w:t>
              <w:br/>
              <w:t>Logging engineer</w:t>
            </w:r>
          </w:p>
        </w:tc>
      </w:tr>
      <w:tr>
        <w:trPr>
          <w:cantSplit/>
        </w:trPr>
        <w:tc>
          <w:tcPr>
            <w:tcW w:type="dxa" w:w="316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Illustrative SC-7</w:t>
              <w:br/>
              <w:t>No outbound vendor connection</w:t>
            </w:r>
          </w:p>
        </w:tc>
        <w:tc>
          <w:tcPr>
            <w:tcW w:type="dxa" w:w="41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New support endpoint crosses boundary</w:t>
              <w:br/>
              <w:t>Review flow and enforce destination restrictions</w:t>
            </w:r>
          </w:p>
        </w:tc>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Escalate for review</w:t>
              <w:br/>
              <w:t>Network lead</w:t>
            </w:r>
          </w:p>
        </w:tc>
      </w:tr>
    </w:tbl>
    <w:p/>
    <w:p>
      <w:r>
        <w:t>The examples show candidate controls, not a universal baseline. Evaluate assigned controls and enhancements actually affected, including inherited and hybrid portions. CM-4 addresses analysis before implementation, and selected enhancements may add separate test-environment or post-change verification expectations. [2]</w:t>
      </w:r>
    </w:p>
    <w:p>
      <w:pPr>
        <w:pStyle w:val="Heading2"/>
      </w:pPr>
      <w:r>
        <w:t>Risk statement and treatment</w:t>
      </w:r>
    </w:p>
    <w:p>
      <w:r>
        <w:t>Write a cause-and-consequence statement: because [change creates exposure or weakness], [threat event] could cause [mission, confidentiality, integrity, availability, or privacy consequence]. Cite the observed evidence. Use the command-approved likelihood and impact method and identify the method version. Distinguish risk before planned mitigation from residual risk after demonstrated mitigation. If a safeguard is only planned, label the residual estimate as conditional.</w:t>
      </w:r>
    </w:p>
    <w:p>
      <w:r>
        <w:t>Record [risk ID], [affected asset and control], [threat and weakness], [likelihood rationale], [impact rationale], [initial risk], [mitigation and owner], [verification evidence], [residual risk], [uncertainty], and [decision needed]. An unknown test result is an evidence gap, not proof of low risk.</w:t>
      </w:r>
    </w:p>
    <w:p>
      <w:r>
        <w:br w:type="page"/>
      </w:r>
    </w:p>
    <w:p>
      <w:pPr>
        <w:pStyle w:val="Heading1"/>
      </w:pPr>
      <w:r>
        <w:t>3 Testing and implementation</w:t>
      </w:r>
    </w:p>
    <w:p>
      <w:pPr>
        <w:pStyle w:val="Heading2"/>
      </w:pPr>
      <w:r>
        <w:t>Evidence before the decision</w:t>
      </w:r>
    </w:p>
    <w:p>
      <w:r>
        <w:t>Choose tests that exercise changed controls and dependent functions. Record the test environment, baseline, tools and versions, scope, assessor or tester, expected result, actual result, and evidence location. Explain how the environment represents production and what differences limit the conclusion. Coordinate separate testing and assessment requirements with the assigned baseline and local process. [1, 2]</w:t>
      </w:r>
    </w:p>
    <w:tbl>
      <w:tblPr>
        <w:tblW w:type="auto" w:w="0"/>
        <w:tblLayout w:type="fixed"/>
        <w:tblLook w:firstColumn="1" w:firstRow="1" w:lastColumn="0" w:lastRow="0" w:noHBand="0" w:noVBand="1" w:val="04A0"/>
      </w:tblPr>
      <w:tblGrid>
        <w:gridCol w:w="2592"/>
        <w:gridCol w:w="4320"/>
        <w:gridCol w:w="3024"/>
      </w:tblGrid>
      <w:tr>
        <w:trPr>
          <w:cantSplit/>
          <w:tblHeader/>
        </w:trPr>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EDEFE2"/>
          </w:tcPr>
          <w:p>
            <w:pPr>
              <w:spacing w:after="60" w:before="20"/>
            </w:pPr>
            <w:r>
              <w:rPr>
                <w:b/>
                <w:sz w:val="20"/>
              </w:rPr>
              <w:t>Test objective</w:t>
            </w:r>
          </w:p>
        </w:tc>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EDEFE2"/>
          </w:tcPr>
          <w:p>
            <w:pPr>
              <w:spacing w:after="60" w:before="20"/>
            </w:pPr>
            <w:r>
              <w:rPr>
                <w:b/>
                <w:sz w:val="20"/>
              </w:rPr>
              <w:t>Acceptance criterion to tailor</w:t>
            </w:r>
          </w:p>
        </w:tc>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EDEFE2"/>
          </w:tcPr>
          <w:p>
            <w:pPr>
              <w:spacing w:after="60" w:before="20"/>
            </w:pPr>
            <w:r>
              <w:rPr>
                <w:b/>
                <w:sz w:val="20"/>
              </w:rPr>
              <w:t>Retained evidence</w:t>
            </w:r>
          </w:p>
        </w:tc>
      </w:tr>
      <w:tr>
        <w:trPr>
          <w:cantSplit/>
        </w:trPr>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Configuration and vulnerabilities</w:t>
            </w:r>
          </w:p>
        </w:tc>
        <w:tc>
          <w:tcPr>
            <w:tcW w:type="dxa" w:w="43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[Approved settings remain effective; findings meet the documented disposition criteria]</w:t>
            </w:r>
          </w:p>
        </w:tc>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[Configuration diff, applicable STIG review, authenticated scan scope and results]</w:t>
            </w:r>
          </w:p>
        </w:tc>
      </w:tr>
      <w:tr>
        <w:trPr>
          <w:cantSplit/>
        </w:trPr>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Identity and boundary enforcement</w:t>
            </w:r>
          </w:p>
        </w:tc>
        <w:tc>
          <w:tcPr>
            <w:tcW w:type="dxa" w:w="43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[Only approved identities, privileges, protocols, and destinations succeed]</w:t>
            </w:r>
          </w:p>
        </w:tc>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[Positive and negative tests, rule review, packet or connection evidence]</w:t>
            </w:r>
          </w:p>
        </w:tc>
      </w:tr>
      <w:tr>
        <w:trPr>
          <w:cantSplit/>
        </w:trPr>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Audit and detection</w:t>
            </w:r>
          </w:p>
        </w:tc>
        <w:tc>
          <w:tcPr>
            <w:tcW w:type="dxa" w:w="43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[Required events reach the approved collector and trigger expected detections]</w:t>
            </w:r>
          </w:p>
        </w:tc>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[Event IDs, timestamps, collector records, alert test results]</w:t>
            </w:r>
          </w:p>
        </w:tc>
      </w:tr>
      <w:tr>
        <w:trPr>
          <w:cantSplit/>
        </w:trPr>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Mission service and recovery</w:t>
            </w:r>
          </w:p>
        </w:tc>
        <w:tc>
          <w:tcPr>
            <w:tcW w:type="dxa" w:w="43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[Service meets approved mission tolerance and restoration requirements]</w:t>
            </w:r>
          </w:p>
        </w:tc>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[Functional test, backup restore or rollback rehearsal, measured recovery]</w:t>
            </w:r>
          </w:p>
        </w:tc>
      </w:tr>
    </w:tbl>
    <w:p/>
    <w:p>
      <w:pPr>
        <w:pStyle w:val="Heading2"/>
      </w:pPr>
      <w:r>
        <w:t>Implementation and rollback</w:t>
      </w:r>
    </w:p>
    <w:p>
      <w:r>
        <w:t>Define the approved change window, executing personnel, exact deployment baseline, prerequisites, communication contacts, and any required outage coordination. Specify measurable stop conditions and who may halt the change. Preserve an authorized recovery path and identify data or schema changes that cannot be undone by reinstalling software.</w:t>
      </w:r>
    </w:p>
    <w:p>
      <w:r>
        <w:t>State rollback triggers [for example, loss of mandatory audit events], latest rollback decision time [local value], authorized decision maker [role], restoration steps [procedure reference], and success checks [observable evidence]. Cite the tested version of the rollback procedure. A backup existing somewhere is insufficient evidence that this change can be reversed.</w:t>
      </w:r>
    </w:p>
    <w:p>
      <w:pPr>
        <w:pStyle w:val="Heading2"/>
      </w:pPr>
      <w:r>
        <w:t>Emergency and unauthorized changes</w:t>
      </w:r>
    </w:p>
    <w:p>
      <w:r>
        <w:t>Follow the approved emergency-change procedure and delegated authority. Document the reason, available pre-change analysis, conditions, and any deferred evidence. Complete the required retrospective review and production verification within the locally prescribed interval. Treat an unauthorized change through the applicable incident and configuration processes, preserving evidence and assessing the actual exposure. This guide establishes no emergency exemption or deadline.</w:t>
      </w:r>
    </w:p>
    <w:p>
      <w:r>
        <w:br w:type="page"/>
      </w:r>
    </w:p>
    <w:p>
      <w:pPr>
        <w:pStyle w:val="Heading1"/>
      </w:pPr>
      <w:r>
        <w:t>4 Decisions and closure</w:t>
      </w:r>
    </w:p>
    <w:p>
      <w:pPr>
        <w:pStyle w:val="Heading2"/>
      </w:pPr>
      <w:r>
        <w:t>Change decision and authorization review</w:t>
      </w:r>
    </w:p>
    <w:p>
      <w:r>
        <w:t>Present the analysis to the change authority with the exact decision requested, known findings, uncertainties, proposed safeguards, and evidence. Record approve, approve with specified conditions if the local process permits, defer, or reject. Capture the decision maker, authority, date, rationale, and explicit conditions. Track each condition to an owner and verification record.</w:t>
      </w:r>
    </w:p>
    <w:p>
      <w:r>
        <w:t>Evaluate whether the change challenges authorization assumptions or terms. Examples for review include a changed boundary, new mission or information type, loss of inherited protection, major architecture or hosting changes, or newly unacceptable risk. These are screening prompts rather than automatic reauthorization thresholds. Coordinate the authorization path with the system owner, ISSM, assessor, and AO chain as required. The AO or appropriately authorized delegate determines the authorization consequence. [3]</w:t>
      </w:r>
    </w:p>
    <w:p>
      <w:pPr>
        <w:pStyle w:val="Heading2"/>
      </w:pPr>
      <w:r>
        <w:t>Required updates and verification</w:t>
      </w:r>
    </w:p>
    <w:tbl>
      <w:tblPr>
        <w:tblW w:type="auto" w:w="0"/>
        <w:tblLayout w:type="fixed"/>
        <w:tblLook w:firstColumn="1" w:firstRow="1" w:lastColumn="0" w:lastRow="0" w:noHBand="0" w:noVBand="1" w:val="04A0"/>
      </w:tblPr>
      <w:tblGrid>
        <w:gridCol w:w="2880"/>
        <w:gridCol w:w="7056"/>
      </w:tblGrid>
      <w:tr>
        <w:trPr>
          <w:cantSplit/>
          <w:tblHeader/>
        </w:trPr>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EDEFE2"/>
          </w:tcPr>
          <w:p>
            <w:pPr>
              <w:spacing w:after="60" w:before="20"/>
            </w:pPr>
            <w:r>
              <w:rPr>
                <w:b/>
                <w:sz w:val="20"/>
              </w:rPr>
              <w:t>Record or artifact</w:t>
            </w:r>
          </w:p>
        </w:tc>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EDEFE2"/>
          </w:tcPr>
          <w:p>
            <w:pPr>
              <w:spacing w:after="60" w:before="20"/>
            </w:pPr>
            <w:r>
              <w:rPr>
                <w:b/>
                <w:sz w:val="20"/>
              </w:rPr>
              <w:t>What to update and retain</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Change record and baseline</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Decision, conditions, implementation date, deployed versions, and configuration changes.</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eMASS and generated SSP inputs</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Affected control narratives, responsible entities, evidence links, architecture, and inheritance statements as applicable.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Assessment and findings records</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Retest results and assessment scope. Track open deficiencies through the existing POA&amp;M process.</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Supporting plans and agreements</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Only changed procedures, dependencies, responsibilities, and recovery or monitoring requirements.</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Production verification</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Actual security-function results, scan coverage where relevant, mission checks, exceptions, and rollback outcome.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Closure record</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Owner, reviewer, evidence index, remaining actions, monitoring requirements, closure authority, and date.</w:t>
            </w:r>
          </w:p>
        </w:tc>
      </w:tr>
    </w:tbl>
    <w:p/>
    <w:p>
      <w:pPr>
        <w:pStyle w:val="Heading2"/>
      </w:pPr>
      <w:r>
        <w:t>Evidence referencing convention</w:t>
      </w:r>
    </w:p>
    <w:p>
      <w:r>
        <w:t>Use a stable artifact ID or approved repository link plus title, version, date, section or page, and scope. State the conclusion in the SIA and explain how the cited evidence supports it. Example: “Test LOG-03, report SIA-EX-01 v1 section 4, confirms required failed-logon events reach the collector from both application nodes.” Do not rely on a plan title as proof that a technical control works.</w:t>
      </w:r>
    </w:p>
    <w:p>
      <w:r>
        <w:t>Apply appropriate handling and access restrictions to populated records and supporting evidence. Determine markings from actual content and applicable guidance. This unpopulated job aid carries no automatic classification or CUI determination.</w:t>
      </w:r>
    </w:p>
    <w:p>
      <w:r>
        <w:br w:type="page"/>
      </w:r>
    </w:p>
    <w:p>
      <w:pPr>
        <w:pStyle w:val="Heading1"/>
      </w:pPr>
      <w:r>
        <w:t>5 Worked example</w:t>
      </w:r>
    </w:p>
    <w:p>
      <w:r>
        <w:t>Fictional training example. All system details, findings, identifiers, dates, and outcomes below are illustrative. They establish no Army thresholds or preapproved technical solution.</w:t>
      </w:r>
    </w:p>
    <w:p>
      <w:pPr>
        <w:pStyle w:val="Heading2"/>
      </w:pPr>
      <w:r>
        <w:t>Scenario and initial analysis</w:t>
      </w:r>
    </w:p>
    <w:p>
      <w:r>
        <w:t>Change EX-01 replaces the log-forwarding agent on two application servers in a training simulation support system. The vendor release also introduces an optional outbound diagnostics service. The existing baseline forwards failed logons, privileged activity, and application errors to the organization’s collector. The proposal initially enables diagnostics by default.</w:t>
      </w:r>
    </w:p>
    <w:p>
      <w:r>
        <w:t>The engineer compares release notes and configuration files. The ISSO identifies candidate effects on AU-2, AU-6, AU-12, CM-6, and SC-7, subject to the system’s assigned controls. The new service would create an external flow not shown in the current design. The first laboratory test shows application errors at the collector but no failed-logon events from one node.</w:t>
      </w:r>
    </w:p>
    <w:p>
      <w:pPr>
        <w:pStyle w:val="Heading2"/>
      </w:pPr>
      <w:r>
        <w:t>Risk and evidence</w:t>
      </w:r>
    </w:p>
    <w:p>
      <w:r>
        <w:t>Because the replacement agent omits required failed-logon events on one node, credential attacks against that node may evade monitoring and delay containment. The team records likelihood and impact using its approved local method and leaves residual risk undetermined pending retest. The external diagnostics flow creates a separate data-disclosure concern requiring scope and destination review.</w:t>
      </w:r>
    </w:p>
    <w:p>
      <w:r>
        <w:t>The proposed treatment disables diagnostics and restores the missing event subscription. Tests LOG-01 through LOG-04 verify event generation, receipt from both nodes, detection behavior, and approved transport. NET-01 verifies no diagnostics connection occurs. CFG-01 compares deployed settings with the approved baseline. RB-01 reinstalls the prior agent and confirms event delivery in the representative laboratory. Test reports record environment differences and evidence paths.</w:t>
      </w:r>
    </w:p>
    <w:p>
      <w:pPr>
        <w:pStyle w:val="Heading2"/>
      </w:pPr>
      <w:r>
        <w:t>Recommendation before implementation</w:t>
      </w:r>
    </w:p>
    <w:p>
      <w:r>
        <w:t>Recommend deferral until the corrected configuration passes the agreed tests and the designated change authority approves it. Provide the authorization-review screening rationale and route it under local procedures. The analysis does not declare the change insignificant solely because only two servers are affected.</w:t>
      </w:r>
    </w:p>
    <w:p>
      <w:pPr>
        <w:pStyle w:val="Heading2"/>
      </w:pPr>
      <w:r>
        <w:t>Closure after an approved deployment</w:t>
      </w:r>
    </w:p>
    <w:p>
      <w:r>
        <w:t>If approved and deployed, repeat LOG and NET checks in production, record the installed version and settings, update affected eMASS narratives and the baseline, and attach the actual results. If mandatory events fail to arrive, invoke the approved stop and rollback criteria. Close EX-01 only when the designated reviewer verifies all conditions or routes remaining issues through the authorized process.</w:t>
      </w:r>
    </w:p>
    <w:p>
      <w:pPr>
        <w:pStyle w:val="Heading2"/>
      </w:pPr>
      <w:r>
        <w:t>Weak and stronger conclusions</w:t>
      </w:r>
    </w:p>
    <w:p>
      <w:r>
        <w:t>Weak: “Patch tested. No security impact.” Stronger: “The laboratory configuration passed LOG-01–04 and NET-01 using baseline EX-B2. Production verification remains open. Recommend implementation only after required approvals, using the documented stop and rollback conditions.”</w:t>
      </w:r>
    </w:p>
    <w:p>
      <w:r>
        <w:br w:type="page"/>
      </w:r>
    </w:p>
    <w:p>
      <w:pPr>
        <w:pStyle w:val="Heading1"/>
      </w:pPr>
      <w:r>
        <w:t>6 Briefing preparation and quality review</w:t>
      </w:r>
    </w:p>
    <w:p>
      <w:pPr>
        <w:pStyle w:val="Heading2"/>
      </w:pPr>
      <w:r>
        <w:t>Companion slide template</w:t>
      </w:r>
    </w:p>
    <w:p>
      <w:r>
        <w:t>Duplicate the PowerPoint for each change. Replace every bracketed field, remove instructions that are no longer needed, and retain evidence identifiers. Slides 1–9 support the decision and closure record. Slide 10 is a fictional teaching example. Slide 11 is the preparation check, and slide 12 lists references. Remove training material from a final decision brief when it is no longer needed.</w:t>
      </w:r>
    </w:p>
    <w:p>
      <w:r>
        <w:t>Keep one change or a clearly scoped release in each briefing. Use supplemental rows or an attachment when controls or findings exceed the available space. Put the analysis conclusion on the slide and the detailed test results in the controlled evidence repository. Tailor the deck’s title and owner information without implying command approval.</w:t>
      </w:r>
    </w:p>
    <w:p>
      <w:pPr>
        <w:pStyle w:val="Heading2"/>
      </w:pPr>
      <w:r>
        <w:t>Review before submission</w:t>
      </w:r>
    </w:p>
    <w:p>
      <w:r>
        <w:t>[  ] The before and after states, boundary, change ID, and baseline are identifiable.</w:t>
      </w:r>
    </w:p>
    <w:p>
      <w:r>
        <w:t>[  ] Each affected control has a stated effect, evidence, and disposition.</w:t>
      </w:r>
    </w:p>
    <w:p>
      <w:r>
        <w:t>[  ] Inherited protection and dependent services have been checked with their owners.</w:t>
      </w:r>
    </w:p>
    <w:p>
      <w:r>
        <w:t>[  ] Risk statements identify a plausible threat, weakness, and mission consequence.</w:t>
      </w:r>
    </w:p>
    <w:p>
      <w:r>
        <w:t>[  ] Planned safeguards and demonstrated safeguards are distinguished.</w:t>
      </w:r>
    </w:p>
    <w:p>
      <w:r>
        <w:t>[  ] Test results show coverage and limitations, including failed or incomplete tests.</w:t>
      </w:r>
    </w:p>
    <w:p>
      <w:r>
        <w:t>[  ] Stop criteria, rollback authority, and restoration checks are explicit.</w:t>
      </w:r>
    </w:p>
    <w:p>
      <w:r>
        <w:t>[  ] The requested change decision is separate from any authorization or risk decision.</w:t>
      </w:r>
    </w:p>
    <w:p>
      <w:r>
        <w:t>[  ] Conditions, owners, dates, and follow-up monitoring are recorded.</w:t>
      </w:r>
    </w:p>
    <w:p>
      <w:r>
        <w:t>[  ] eMASS and supporting artifacts reflect the deployed state before closure.</w:t>
      </w:r>
    </w:p>
    <w:p>
      <w:pPr>
        <w:pStyle w:val="Heading2"/>
      </w:pPr>
      <w:r>
        <w:t>Source references and applicability</w:t>
      </w:r>
    </w:p>
    <w:p>
      <w:r>
        <w:t>[1] NIST SP 800-128, including updates of 10 October 2019, section 3.3.3 and Appendix G. Source for the analysis lifecycle and relationship to change control. https://csrc.nist.gov/pubs/sp/800/128/upd1/final</w:t>
      </w:r>
    </w:p>
    <w:p>
      <w:r>
        <w:t>[2] NIST SP 800-53 Rev. 5, CM-3 and CM-4, with applicable selected enhancements. Check the assigned catalog release and organizational parameters. NIST identifies Release 5.2.0 in its publication record. https://csrc.nist.gov/pubs/sp/800/53/r5/upd1/final</w:t>
      </w:r>
    </w:p>
    <w:p>
      <w:r>
        <w:t>[3] NIST SP 800-37 Rev. 2, Monitor tasks M-1 through M-4 and M-6. Source for change monitoring, assessment, documentation, reporting, and ongoing authorization. https://csrc.nist.gov/pubs/sp/800/37/r2/final</w:t>
      </w:r>
    </w:p>
    <w:p>
      <w:r>
        <w:t>Army context: AR 25-2 and DA Pam 25-2-14, especially configuration management and continuous-monitoring provisions. The public 2019 editions were used in the companion catalog. This guide does not assert that CAC-restricted updates, command orders, or local AO procedures have been incorporated. Confirm the current applicable Army and command requirements before adoption.</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Draft v0.1  •  28 October 2026  |  Workforce guide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CYBERSECURITY CENTER OF EXCELLENCE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