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EDEFE6" w:val="clear"/>
        <w:spacing w:after="160"/>
        <w:jc w:val="center"/>
      </w:pPr>
      <w:r>
        <w:rPr>
          <w:rFonts w:ascii="Consolas" w:cs="Consolas" w:eastAsia="Consolas" w:hAnsi="Consolas"/>
          <w:b/>
          <w:bCs/>
          <w:color w:val="4B5320"/>
          <w:sz w:val="16"/>
          <w:szCs w:val="16"/>
        </w:rPr>
        <w:t xml:space="preserve">UNCLASSIFIED // DEMONSTRATION DOCUMENT — NO CUI OR CLASSIFIED DATA</w:t>
      </w:r>
    </w:p>
    <w:p>
      <w:pPr>
        <w:pStyle w:val="Heading1"/>
        <w:spacing w:after="60"/>
      </w:pPr>
      <w:r>
        <w:rPr>
          <w:b/>
          <w:bCs/>
          <w:color w:val="4B5320"/>
          <w:sz w:val="32"/>
          <w:szCs w:val="32"/>
        </w:rPr>
        <w:t xml:space="preserve">CUI Handling Directive</w:t>
      </w:r>
    </w:p>
    <w:p>
      <w:pPr>
        <w:spacing w:after="140"/>
      </w:pPr>
      <w:r>
        <w:rPr>
          <w:rFonts w:ascii="Consolas" w:cs="Consolas" w:eastAsia="Consolas" w:hAnsi="Consolas"/>
          <w:color w:val="5A6157"/>
          <w:sz w:val="18"/>
          <w:szCs w:val="18"/>
        </w:rPr>
        <w:t xml:space="preserve">CCOE-DIR-CUI-009 · v2.2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6820"/>
      </w:tblGrid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OWNER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Governance Branch — CCoE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CURRENT VERSION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v2.2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EFFECTIVE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2026-03-01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MANDATED REVIEW DATE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2026-09-01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APPLICABILITY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All systems in the Army cyber portfolio under CCoE cognizance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APPROVAL AUTHORITY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CISO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RELATED TEMPLATES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Incident Response Policy v3.1 (spill procedures)</w:t>
            </w:r>
          </w:p>
        </w:tc>
      </w:tr>
      <w:tr>
        <w:tc>
          <w:tcPr>
            <w:tcW w:type="dxa" w:w="2900"/>
            <w:shd w:fill="F4F5EF" w:val="clear"/>
          </w:tcPr>
          <w:p>
            <w:r>
              <w:rPr>
                <w:rFonts w:ascii="Consolas" w:cs="Consolas" w:eastAsia="Consolas" w:hAnsi="Consolas"/>
                <w:b/>
                <w:bCs/>
                <w:color w:val="4B5320"/>
                <w:sz w:val="18"/>
                <w:szCs w:val="18"/>
              </w:rPr>
              <w:t xml:space="preserve">SUPERSEDED DOCUMENTS</w:t>
            </w:r>
          </w:p>
        </w:tc>
        <w:tc>
          <w:tcPr>
            <w:tcW w:type="dxa" w:w="6820"/>
          </w:tcPr>
          <w:p>
            <w:r>
              <w:rPr>
                <w:sz w:val="20"/>
                <w:szCs w:val="20"/>
              </w:rPr>
              <w:t xml:space="preserve">CUI Directive v2.1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 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1. Purpose</w:t>
      </w:r>
    </w:p>
    <w:p>
      <w:pPr>
        <w:spacing w:after="100"/>
      </w:pPr>
      <w:r>
        <w:rPr>
          <w:sz w:val="21"/>
          <w:szCs w:val="21"/>
        </w:rPr>
        <w:t xml:space="preserve">Prescribes marking, storage, transmission, and destruction of Controlled Unclassified Information across the portfolio, including the banner and designation-indicator standards this hub itself follows. This demonstration hub processes no CUI; the directive is published here as the controlling standard for systems that do.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2. Marking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Banner marking at top and bottom of every page/screen: CUI, with category and limited-dissemination markings where applicable (e.g., CUI//SP-PRVCY//FEDCON).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Designation indicator block on the first page: controlled by, category, distribution/dissemination, and POC.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Portion marking where the document mixes CUI and non-CUI content.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Emails containing CUI: banner as the first line of the body and CUI in the subject line prefix.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3. Storage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At rest on systems authorized at the appropriate impact level (IL4 minimum in cloud); encryption at rest required.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Physical: locked container or controlled room when unattended; no CUI on unattended desks or printers.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No CUI on personal devices, personal accounts, or unauthorized collaboration tools.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4. Transmission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Electronic transmission encrypted in transit (TLS 1.2+ or approved equivalent); recipients verified as authorized before sending.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No CUI to uncleared or unauthorized domains — a mis-send is a reportable spill from the moment of send, not discovery.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5. Destruction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Paper: cross-cut shredding meeting the destruction standard.</w:t>
      </w:r>
    </w:p>
    <w:p>
      <w:pPr>
        <w:pStyle w:val="ListParagraph"/>
        <w:numPr>
          <w:ilvl w:val="0"/>
          <w:numId w:val="2"/>
        </w:numPr>
        <w:spacing w:after="55"/>
      </w:pPr>
      <w:r>
        <w:rPr>
          <w:sz w:val="21"/>
          <w:szCs w:val="21"/>
        </w:rPr>
        <w:t xml:space="preserve">Media: sanitization per approved methods with a certificate of sanitization retained (see Divestment Checklist for system-level disposition).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6. Spills</w:t>
      </w:r>
    </w:p>
    <w:p>
      <w:pPr>
        <w:spacing w:after="100"/>
      </w:pPr>
      <w:r>
        <w:rPr>
          <w:sz w:val="21"/>
          <w:szCs w:val="21"/>
        </w:rPr>
        <w:t xml:space="preserve">Suspected or confirmed spills follow the Incident Response Policy spill procedures immediately: start the spill clock, preserve evidence, notify in the prescribed order, and document every action. Self-reporting is a protected, expected behavior — the reportable failure is silence, not the mistake.</w:t>
      </w:r>
    </w:p>
    <w:p>
      <w:pPr>
        <w:pStyle w:val="Heading2"/>
        <w:spacing w:after="90" w:before="220"/>
      </w:pPr>
      <w:r>
        <w:rPr>
          <w:b/>
          <w:bCs/>
          <w:color w:val="1E211C"/>
          <w:sz w:val="24"/>
          <w:szCs w:val="24"/>
        </w:rPr>
        <w:t xml:space="preserve">Revision Log</w:t>
      </w:r>
    </w:p>
    <w:tbl>
      <w:tblPr>
        <w:tblW w:type="dxa" w:w="97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520"/>
      </w:tblGrid>
      <w:tr>
        <w:tc>
          <w:tcPr>
            <w:tcW w:type="dxa" w:w="2200"/>
            <w:shd w:fill="F4F5EF" w:val="clear"/>
          </w:tcPr>
          <w:p>
            <w:r>
              <w:rPr>
                <w:b/>
                <w:bCs/>
                <w:sz w:val="19"/>
                <w:szCs w:val="19"/>
              </w:rPr>
              <w:t xml:space="preserve">v2.2 — 2026-03-01</w:t>
            </w:r>
          </w:p>
        </w:tc>
        <w:tc>
          <w:tcPr>
            <w:tcW w:type="dxa" w:w="7520"/>
          </w:tcPr>
          <w:p>
            <w:r>
              <w:rPr>
                <w:sz w:val="20"/>
                <w:szCs w:val="20"/>
              </w:rPr>
              <w:t xml:space="preserve">Email subject-line prefix requirement added; personal-device prohibition made explicit.</w:t>
            </w:r>
          </w:p>
        </w:tc>
      </w:tr>
    </w:tbl>
    <w:sectPr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2026-07-02T12:38:41.624Z</dcterms:created>
  <dcterms:modified xsi:type="dcterms:W3CDTF">2026-07-02T12:38:41.624Z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