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EDEFE6" w:val="clear"/>
        <w:spacing w:after="160"/>
        <w:jc w:val="center"/>
      </w:pPr>
      <w:r>
        <w:rPr>
          <w:rFonts w:ascii="Consolas" w:cs="Consolas" w:eastAsia="Consolas" w:hAnsi="Consolas"/>
          <w:b/>
          <w:bCs/>
          <w:color w:val="4B5320"/>
          <w:sz w:val="16"/>
          <w:szCs w:val="16"/>
        </w:rPr>
        <w:t xml:space="preserve">UNCLASSIFIED // DEMONSTRATION DOCUMENT — NO CUI OR CLASSIFIED DATA</w:t>
      </w:r>
    </w:p>
    <w:p>
      <w:pPr>
        <w:pStyle w:val="Heading1"/>
        <w:spacing w:after="60"/>
      </w:pPr>
      <w:r>
        <w:rPr>
          <w:b/>
          <w:bCs/>
          <w:color w:val="4B5320"/>
          <w:sz w:val="32"/>
          <w:szCs w:val="32"/>
        </w:rPr>
        <w:t xml:space="preserve">Cloud Governance (FedRAMP / IL2–IL6)</w:t>
      </w:r>
    </w:p>
    <w:p>
      <w:pPr>
        <w:spacing w:after="140"/>
      </w:pPr>
      <w:r>
        <w:rPr>
          <w:rFonts w:ascii="Consolas" w:cs="Consolas" w:eastAsia="Consolas" w:hAnsi="Consolas"/>
          <w:color w:val="5A6157"/>
          <w:sz w:val="18"/>
          <w:szCs w:val="18"/>
        </w:rPr>
        <w:t xml:space="preserve">CCOE-POL-CLD-008 · v3.0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820"/>
      </w:tblGrid>
      <w:tr>
        <w:tc>
          <w:tcPr>
            <w:tcW w:type="dxa" w:w="2900"/>
            <w:shd w:fill="F4F5EF" w:val="clear"/>
          </w:tcPr>
          <w:p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OWNER</w:t>
            </w:r>
          </w:p>
        </w:tc>
        <w:tc>
          <w:tcPr>
            <w:tcW w:type="dxa" w:w="6820"/>
          </w:tcPr>
          <w:p>
            <w:r>
              <w:rPr>
                <w:sz w:val="20"/>
                <w:szCs w:val="20"/>
              </w:rPr>
              <w:t xml:space="preserve">Cloud Cell — CCoE</w:t>
            </w:r>
          </w:p>
        </w:tc>
      </w:tr>
      <w:tr>
        <w:tc>
          <w:tcPr>
            <w:tcW w:type="dxa" w:w="2900"/>
            <w:shd w:fill="F4F5EF" w:val="clear"/>
          </w:tcPr>
          <w:p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CURRENT VERSION</w:t>
            </w:r>
          </w:p>
        </w:tc>
        <w:tc>
          <w:tcPr>
            <w:tcW w:type="dxa" w:w="6820"/>
          </w:tcPr>
          <w:p>
            <w:r>
              <w:rPr>
                <w:sz w:val="20"/>
                <w:szCs w:val="20"/>
              </w:rPr>
              <w:t xml:space="preserve">v3.0</w:t>
            </w:r>
          </w:p>
        </w:tc>
      </w:tr>
      <w:tr>
        <w:tc>
          <w:tcPr>
            <w:tcW w:type="dxa" w:w="2900"/>
            <w:shd w:fill="F4F5EF" w:val="clear"/>
          </w:tcPr>
          <w:p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EFFECTIVE DATE</w:t>
            </w:r>
          </w:p>
        </w:tc>
        <w:tc>
          <w:tcPr>
            <w:tcW w:type="dxa" w:w="6820"/>
          </w:tcPr>
          <w:p>
            <w:r>
              <w:rPr>
                <w:sz w:val="20"/>
                <w:szCs w:val="20"/>
              </w:rPr>
              <w:t xml:space="preserve">2026-07-01</w:t>
            </w:r>
          </w:p>
        </w:tc>
      </w:tr>
      <w:tr>
        <w:tc>
          <w:tcPr>
            <w:tcW w:type="dxa" w:w="2900"/>
            <w:shd w:fill="F4F5EF" w:val="clear"/>
          </w:tcPr>
          <w:p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MANDATED REVIEW DATE</w:t>
            </w:r>
          </w:p>
        </w:tc>
        <w:tc>
          <w:tcPr>
            <w:tcW w:type="dxa" w:w="6820"/>
          </w:tcPr>
          <w:p>
            <w:r>
              <w:rPr>
                <w:sz w:val="20"/>
                <w:szCs w:val="20"/>
              </w:rPr>
              <w:t xml:space="preserve">2027-01-01</w:t>
            </w:r>
          </w:p>
        </w:tc>
      </w:tr>
      <w:tr>
        <w:tc>
          <w:tcPr>
            <w:tcW w:type="dxa" w:w="2900"/>
            <w:shd w:fill="F4F5EF" w:val="clear"/>
          </w:tcPr>
          <w:p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APPLICABILITY</w:t>
            </w:r>
          </w:p>
        </w:tc>
        <w:tc>
          <w:tcPr>
            <w:tcW w:type="dxa" w:w="6820"/>
          </w:tcPr>
          <w:p>
            <w:r>
              <w:rPr>
                <w:sz w:val="20"/>
                <w:szCs w:val="20"/>
              </w:rPr>
              <w:t xml:space="preserve">All cloud-hosted systems and services in the portfolio, IL2 through IL6</w:t>
            </w:r>
          </w:p>
        </w:tc>
      </w:tr>
      <w:tr>
        <w:tc>
          <w:tcPr>
            <w:tcW w:type="dxa" w:w="2900"/>
            <w:shd w:fill="F4F5EF" w:val="clear"/>
          </w:tcPr>
          <w:p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APPROVAL AUTHORITY</w:t>
            </w:r>
          </w:p>
        </w:tc>
        <w:tc>
          <w:tcPr>
            <w:tcW w:type="dxa" w:w="6820"/>
          </w:tcPr>
          <w:p>
            <w:r>
              <w:rPr>
                <w:sz w:val="20"/>
                <w:szCs w:val="20"/>
              </w:rPr>
              <w:t xml:space="preserve">CISO</w:t>
            </w:r>
          </w:p>
        </w:tc>
      </w:tr>
      <w:tr>
        <w:tc>
          <w:tcPr>
            <w:tcW w:type="dxa" w:w="2900"/>
            <w:shd w:fill="F4F5EF" w:val="clear"/>
          </w:tcPr>
          <w:p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RELATED TEMPLATES</w:t>
            </w:r>
          </w:p>
        </w:tc>
        <w:tc>
          <w:tcPr>
            <w:tcW w:type="dxa" w:w="6820"/>
          </w:tcPr>
          <w:p>
            <w:r>
              <w:rPr>
                <w:sz w:val="20"/>
                <w:szCs w:val="20"/>
              </w:rPr>
              <w:t xml:space="preserve">SSP Standard Language Blocks v4.2; Significant Change Request v3.2</w:t>
            </w:r>
          </w:p>
        </w:tc>
      </w:tr>
      <w:tr>
        <w:tc>
          <w:tcPr>
            <w:tcW w:type="dxa" w:w="2900"/>
            <w:shd w:fill="F4F5EF" w:val="clear"/>
          </w:tcPr>
          <w:p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SUPERSEDED DOCUMENTS</w:t>
            </w:r>
          </w:p>
        </w:tc>
        <w:tc>
          <w:tcPr>
            <w:tcW w:type="dxa" w:w="6820"/>
          </w:tcPr>
          <w:p>
            <w:r>
              <w:rPr>
                <w:sz w:val="20"/>
                <w:szCs w:val="20"/>
              </w:rPr>
              <w:t xml:space="preserve">Cloud Governance v2.9 (accepted through 30 JUN 2026)</w:t>
            </w:r>
          </w:p>
        </w:tc>
      </w:tr>
    </w:tbl>
    <w:p>
      <w:pPr>
        <w:spacing w:after="100"/>
      </w:pPr>
      <w:r>
        <w:rPr>
          <w:sz w:val="21"/>
          <w:szCs w:val="21"/>
        </w:rPr>
        <w:t xml:space="preserve"> </w:t>
      </w:r>
    </w:p>
    <w:p>
      <w:pPr>
        <w:pStyle w:val="Heading2"/>
        <w:spacing w:after="90" w:before="220"/>
      </w:pPr>
      <w:r>
        <w:rPr>
          <w:b/>
          <w:bCs/>
          <w:color w:val="1E211C"/>
          <w:sz w:val="24"/>
          <w:szCs w:val="24"/>
        </w:rPr>
        <w:t xml:space="preserve">1. Purpose</w:t>
      </w:r>
    </w:p>
    <w:p>
      <w:pPr>
        <w:spacing w:after="100"/>
      </w:pPr>
      <w:r>
        <w:rPr>
          <w:sz w:val="21"/>
          <w:szCs w:val="21"/>
        </w:rPr>
        <w:t xml:space="preserve">Governs the selection, authorization, and operation of cloud services: impact-level mapping, FedRAMP reciprocity, inheritance maps for approved CSP offerings, and cloud-specific overlay requirements. Version 3.0 updates the IL4/IL5 inheritance maps — all cloud-hosted SSPs must re-baseline against the new maps.</w:t>
      </w:r>
    </w:p>
    <w:p>
      <w:pPr>
        <w:pStyle w:val="Heading2"/>
        <w:spacing w:after="90" w:before="220"/>
      </w:pPr>
      <w:r>
        <w:rPr>
          <w:b/>
          <w:bCs/>
          <w:color w:val="1E211C"/>
          <w:sz w:val="24"/>
          <w:szCs w:val="24"/>
        </w:rPr>
        <w:t xml:space="preserve">2. Impact-Level Mapping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sz w:val="21"/>
          <w:szCs w:val="21"/>
        </w:rPr>
        <w:t xml:space="preserve">IL2 — publicly releasable and non-critical mission information; FedRAMP Moderate baseline acceptable.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sz w:val="21"/>
          <w:szCs w:val="21"/>
        </w:rPr>
        <w:t xml:space="preserve">IL4 — CUI and non-critical mission information; DoD-authorized environment with the IL4 overlay.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sz w:val="21"/>
          <w:szCs w:val="21"/>
        </w:rPr>
        <w:t xml:space="preserve">IL5 — higher-sensitivity CUI, mission-critical information, and national security systems as designated; dedicated or logically separated infrastructure per the IL5 overlay.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sz w:val="21"/>
          <w:szCs w:val="21"/>
        </w:rPr>
        <w:t xml:space="preserve">IL6 — classified information up to SECRET; only within accredited classified cloud regions; outside this document except for the mapping rule itself.</w:t>
      </w:r>
    </w:p>
    <w:p>
      <w:pPr>
        <w:spacing w:after="100"/>
      </w:pPr>
      <w:r>
        <w:rPr>
          <w:sz w:val="21"/>
          <w:szCs w:val="21"/>
        </w:rPr>
        <w:t xml:space="preserve">Data placement follows the highest impact level of any data type in the workload. Mixed workloads split or inherit up.</w:t>
      </w:r>
    </w:p>
    <w:p>
      <w:pPr>
        <w:pStyle w:val="Heading2"/>
        <w:spacing w:after="90" w:before="220"/>
      </w:pPr>
      <w:r>
        <w:rPr>
          <w:b/>
          <w:bCs/>
          <w:color w:val="1E211C"/>
          <w:sz w:val="24"/>
          <w:szCs w:val="24"/>
        </w:rPr>
        <w:t xml:space="preserve">3. Inheritance Maps</w:t>
      </w:r>
    </w:p>
    <w:p>
      <w:pPr>
        <w:spacing w:after="100"/>
      </w:pPr>
      <w:r>
        <w:rPr>
          <w:sz w:val="21"/>
          <w:szCs w:val="21"/>
        </w:rPr>
        <w:t xml:space="preserve">For each approved CSP offering, the Cloud Cell publishes an inheritance map naming, per control: fully inherited, shared (with the customer-responsibility statement to implement), or customer-owned. SSP implementation statements must cite the map version. Effective this version: the IL4/IL5 maps re-baseline shared-control boundaries for identity, logging, and encryption-key services — statements citing v2.9 maps are non-current after 01 JUL 2026.</w:t>
      </w:r>
    </w:p>
    <w:p>
      <w:pPr>
        <w:pStyle w:val="Heading2"/>
        <w:spacing w:after="90" w:before="220"/>
      </w:pPr>
      <w:r>
        <w:rPr>
          <w:b/>
          <w:bCs/>
          <w:color w:val="1E211C"/>
          <w:sz w:val="24"/>
          <w:szCs w:val="24"/>
        </w:rPr>
        <w:t xml:space="preserve">4. Reciprocity Rules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sz w:val="21"/>
          <w:szCs w:val="21"/>
        </w:rPr>
        <w:t xml:space="preserve">A FedRAMP or DoD provisional authorization covers the platform, never the mission application built on it.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sz w:val="21"/>
          <w:szCs w:val="21"/>
        </w:rPr>
        <w:t xml:space="preserve">BoE from the CSP is accepted per the Reciprocity Acceptance Policy v1.7; the delta assessment covers everything customer-owned.</w:t>
      </w:r>
    </w:p>
    <w:p>
      <w:pPr>
        <w:pStyle w:val="Heading2"/>
        <w:spacing w:after="90" w:before="220"/>
      </w:pPr>
      <w:r>
        <w:rPr>
          <w:b/>
          <w:bCs/>
          <w:color w:val="1E211C"/>
          <w:sz w:val="24"/>
          <w:szCs w:val="24"/>
        </w:rPr>
        <w:t xml:space="preserve">5. Cloud Overlay Requirements (summary)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sz w:val="21"/>
          <w:szCs w:val="21"/>
        </w:rPr>
        <w:t xml:space="preserve">Identity: phishing-resistant MFA for all privileged cloud-plane access; conditional access policies reviewed quarterly.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sz w:val="21"/>
          <w:szCs w:val="21"/>
        </w:rPr>
        <w:t xml:space="preserve">Logging: control-plane and data-plane security logs forwarded off-tenant to the enterprise SIEM; retention one year.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sz w:val="21"/>
          <w:szCs w:val="21"/>
        </w:rPr>
        <w:t xml:space="preserve">Keys: customer-managed keys for CUI at rest at IL4+; key rotation and access audit evidence quarterly.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sz w:val="21"/>
          <w:szCs w:val="21"/>
        </w:rPr>
        <w:t xml:space="preserve">Egress: deny-by-default network egress with documented exceptions.</w:t>
      </w:r>
    </w:p>
    <w:p>
      <w:pPr>
        <w:pStyle w:val="Heading2"/>
        <w:spacing w:after="90" w:before="220"/>
      </w:pPr>
      <w:r>
        <w:rPr>
          <w:b/>
          <w:bCs/>
          <w:color w:val="1E211C"/>
          <w:sz w:val="24"/>
          <w:szCs w:val="24"/>
        </w:rPr>
        <w:t xml:space="preserve">6. Change Control</w:t>
      </w:r>
    </w:p>
    <w:p>
      <w:pPr>
        <w:spacing w:after="100"/>
      </w:pPr>
      <w:r>
        <w:rPr>
          <w:sz w:val="21"/>
          <w:szCs w:val="21"/>
        </w:rPr>
        <w:t xml:space="preserve">Adding a region, service, or inheritance dependency is a SIGNIFICANT change under the Change Management Rubric (see SCR-2026-041 as the worked pattern).</w:t>
      </w:r>
    </w:p>
    <w:p>
      <w:pPr>
        <w:pStyle w:val="Heading2"/>
        <w:spacing w:after="90" w:before="220"/>
      </w:pPr>
      <w:r>
        <w:rPr>
          <w:b/>
          <w:bCs/>
          <w:color w:val="1E211C"/>
          <w:sz w:val="24"/>
          <w:szCs w:val="24"/>
        </w:rPr>
        <w:t xml:space="preserve">Revision Log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520"/>
      </w:tblGrid>
      <w:tr>
        <w:tc>
          <w:tcPr>
            <w:tcW w:type="dxa" w:w="2200"/>
            <w:shd w:fill="F4F5EF" w:val="clear"/>
          </w:tcPr>
          <w:p>
            <w:r>
              <w:rPr>
                <w:b/>
                <w:bCs/>
                <w:sz w:val="19"/>
                <w:szCs w:val="19"/>
              </w:rPr>
              <w:t xml:space="preserve">v3.0 — 2026-07-01</w:t>
            </w:r>
          </w:p>
        </w:tc>
        <w:tc>
          <w:tcPr>
            <w:tcW w:type="dxa" w:w="7520"/>
          </w:tcPr>
          <w:p>
            <w:r>
              <w:rPr>
                <w:sz w:val="20"/>
                <w:szCs w:val="20"/>
              </w:rPr>
              <w:t xml:space="preserve">IL4/IL5 inheritance maps re-baselined (identity, logging, KMS shared boundaries). All cloud SSPs must cite v3.0 maps; v2.9 citations non-current after 01 JUL 2026.</w:t>
            </w:r>
          </w:p>
        </w:tc>
      </w:tr>
    </w:tbl>
    <w:sectPr>
      <w:pgSz w:w="12240" w:h="15840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2026-07-02T12:38:41.595Z</dcterms:created>
  <dcterms:modified xsi:type="dcterms:W3CDTF">2026-07-02T12:38:41.595Z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