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EDEFE6" w:val="clear"/>
        <w:spacing w:after="160"/>
        <w:jc w:val="center"/>
      </w:pPr>
      <w:r>
        <w:rPr>
          <w:rFonts w:ascii="Consolas" w:cs="Consolas" w:eastAsia="Consolas" w:hAnsi="Consolas"/>
          <w:b/>
          <w:bCs/>
          <w:color w:val="4B5320"/>
          <w:sz w:val="16"/>
          <w:szCs w:val="16"/>
        </w:rPr>
        <w:t xml:space="preserve">UNCLASSIFIED // DEMONSTRATION DOCUMENT — NO CUI OR CLASSIFIED DATA</w:t>
      </w:r>
    </w:p>
    <w:p>
      <w:pPr>
        <w:pStyle w:val="Heading1"/>
        <w:spacing w:after="60"/>
      </w:pPr>
      <w:r>
        <w:rPr>
          <w:b/>
          <w:bCs/>
          <w:color w:val="4B5320"/>
          <w:sz w:val="32"/>
          <w:szCs w:val="32"/>
        </w:rPr>
        <w:t xml:space="preserve">Emerging AI / Model Governance</w:t>
      </w:r>
    </w:p>
    <w:p>
      <w:pPr>
        <w:spacing w:after="140"/>
      </w:pPr>
      <w:r>
        <w:rPr>
          <w:rFonts w:ascii="Consolas" w:cs="Consolas" w:eastAsia="Consolas" w:hAnsi="Consolas"/>
          <w:color w:val="5A6157"/>
          <w:sz w:val="18"/>
          <w:szCs w:val="18"/>
        </w:rPr>
        <w:t xml:space="preserve">CCOE-POL-AI-012 · v1.0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820"/>
      </w:tblGrid>
      <w:tr>
        <w:tc>
          <w:tcPr>
            <w:tcW w:type="dxa" w:w="2900"/>
            <w:shd w:fill="F4F5EF" w:val="clear"/>
          </w:tcPr>
          <w:p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OWNER</w:t>
            </w:r>
          </w:p>
        </w:tc>
        <w:tc>
          <w:tcPr>
            <w:tcW w:type="dxa" w:w="6820"/>
          </w:tcPr>
          <w:p>
            <w:r>
              <w:rPr>
                <w:sz w:val="20"/>
                <w:szCs w:val="20"/>
              </w:rPr>
              <w:t xml:space="preserve">AI Cell — CCoE</w:t>
            </w:r>
          </w:p>
        </w:tc>
      </w:tr>
      <w:tr>
        <w:tc>
          <w:tcPr>
            <w:tcW w:type="dxa" w:w="2900"/>
            <w:shd w:fill="F4F5EF" w:val="clear"/>
          </w:tcPr>
          <w:p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CURRENT VERSION</w:t>
            </w:r>
          </w:p>
        </w:tc>
        <w:tc>
          <w:tcPr>
            <w:tcW w:type="dxa" w:w="6820"/>
          </w:tcPr>
          <w:p>
            <w:r>
              <w:rPr>
                <w:sz w:val="20"/>
                <w:szCs w:val="20"/>
              </w:rPr>
              <w:t xml:space="preserve">v1.0</w:t>
            </w:r>
          </w:p>
        </w:tc>
      </w:tr>
      <w:tr>
        <w:tc>
          <w:tcPr>
            <w:tcW w:type="dxa" w:w="2900"/>
            <w:shd w:fill="F4F5EF" w:val="clear"/>
          </w:tcPr>
          <w:p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EFFECTIVE DATE</w:t>
            </w:r>
          </w:p>
        </w:tc>
        <w:tc>
          <w:tcPr>
            <w:tcW w:type="dxa" w:w="6820"/>
          </w:tcPr>
          <w:p>
            <w:r>
              <w:rPr>
                <w:sz w:val="20"/>
                <w:szCs w:val="20"/>
              </w:rPr>
              <w:t xml:space="preserve">2026-05-15</w:t>
            </w:r>
          </w:p>
        </w:tc>
      </w:tr>
      <w:tr>
        <w:tc>
          <w:tcPr>
            <w:tcW w:type="dxa" w:w="2900"/>
            <w:shd w:fill="F4F5EF" w:val="clear"/>
          </w:tcPr>
          <w:p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MANDATED REVIEW DATE</w:t>
            </w:r>
          </w:p>
        </w:tc>
        <w:tc>
          <w:tcPr>
            <w:tcW w:type="dxa" w:w="6820"/>
          </w:tcPr>
          <w:p>
            <w:r>
              <w:rPr>
                <w:sz w:val="20"/>
                <w:szCs w:val="20"/>
              </w:rPr>
              <w:t xml:space="preserve">2026-08-15</w:t>
            </w:r>
          </w:p>
        </w:tc>
      </w:tr>
      <w:tr>
        <w:tc>
          <w:tcPr>
            <w:tcW w:type="dxa" w:w="2900"/>
            <w:shd w:fill="F4F5EF" w:val="clear"/>
          </w:tcPr>
          <w:p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APPLICABILITY</w:t>
            </w:r>
          </w:p>
        </w:tc>
        <w:tc>
          <w:tcPr>
            <w:tcW w:type="dxa" w:w="6820"/>
          </w:tcPr>
          <w:p>
            <w:r>
              <w:rPr>
                <w:sz w:val="20"/>
                <w:szCs w:val="20"/>
              </w:rPr>
              <w:t xml:space="preserve">All systems in the Army cyber portfolio under CCoE cognizance</w:t>
            </w:r>
          </w:p>
        </w:tc>
      </w:tr>
      <w:tr>
        <w:tc>
          <w:tcPr>
            <w:tcW w:type="dxa" w:w="2900"/>
            <w:shd w:fill="F4F5EF" w:val="clear"/>
          </w:tcPr>
          <w:p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APPROVAL AUTHORITY</w:t>
            </w:r>
          </w:p>
        </w:tc>
        <w:tc>
          <w:tcPr>
            <w:tcW w:type="dxa" w:w="6820"/>
          </w:tcPr>
          <w:p>
            <w:r>
              <w:rPr>
                <w:sz w:val="20"/>
                <w:szCs w:val="20"/>
              </w:rPr>
              <w:t xml:space="preserve">CISO</w:t>
            </w:r>
          </w:p>
        </w:tc>
      </w:tr>
      <w:tr>
        <w:tc>
          <w:tcPr>
            <w:tcW w:type="dxa" w:w="2900"/>
            <w:shd w:fill="F4F5EF" w:val="clear"/>
          </w:tcPr>
          <w:p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RELATED TEMPLATES</w:t>
            </w:r>
          </w:p>
        </w:tc>
        <w:tc>
          <w:tcPr>
            <w:tcW w:type="dxa" w:w="6820"/>
          </w:tcPr>
          <w:p>
            <w:r>
              <w:rPr>
                <w:sz w:val="20"/>
                <w:szCs w:val="20"/>
              </w:rPr>
              <w:t xml:space="preserve">AI &amp; Automation portal intake; CUI Handling Directive v2.2</w:t>
            </w:r>
          </w:p>
        </w:tc>
      </w:tr>
      <w:tr>
        <w:tc>
          <w:tcPr>
            <w:tcW w:type="dxa" w:w="2900"/>
            <w:shd w:fill="F4F5EF" w:val="clear"/>
          </w:tcPr>
          <w:p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SUPERSEDED DOCUMENTS</w:t>
            </w:r>
          </w:p>
        </w:tc>
        <w:tc>
          <w:tcPr>
            <w:tcW w:type="dxa" w:w="6820"/>
          </w:tcPr>
          <w:p>
            <w:r>
              <w:rPr>
                <w:sz w:val="20"/>
                <w:szCs w:val="20"/>
              </w:rPr>
              <w:t xml:space="preserve">—</w:t>
            </w:r>
          </w:p>
        </w:tc>
      </w:tr>
    </w:tbl>
    <w:p>
      <w:pPr>
        <w:spacing w:after="100"/>
      </w:pPr>
      <w:r>
        <w:rPr>
          <w:sz w:val="21"/>
          <w:szCs w:val="21"/>
        </w:rPr>
        <w:t xml:space="preserve"> </w:t>
      </w:r>
    </w:p>
    <w:p>
      <w:pPr>
        <w:pStyle w:val="Heading2"/>
        <w:spacing w:after="90" w:before="220"/>
      </w:pPr>
      <w:r>
        <w:rPr>
          <w:b/>
          <w:bCs/>
          <w:color w:val="1E211C"/>
          <w:sz w:val="24"/>
          <w:szCs w:val="24"/>
        </w:rPr>
        <w:t xml:space="preserve">1. Purpose</w:t>
      </w:r>
    </w:p>
    <w:p>
      <w:pPr>
        <w:spacing w:after="100"/>
      </w:pPr>
      <w:r>
        <w:rPr>
          <w:sz w:val="21"/>
          <w:szCs w:val="21"/>
        </w:rPr>
        <w:t xml:space="preserve">Sets operational parameters for AI tooling in the portfolio: approved use cases, data boundaries, output review requirements, and model documentation standards. This is a first-issue policy with a compressed 90-day review cycle.</w:t>
      </w:r>
    </w:p>
    <w:p>
      <w:pPr>
        <w:pStyle w:val="Heading2"/>
        <w:spacing w:after="90" w:before="220"/>
      </w:pPr>
      <w:r>
        <w:rPr>
          <w:b/>
          <w:bCs/>
          <w:color w:val="1E211C"/>
          <w:sz w:val="24"/>
          <w:szCs w:val="24"/>
        </w:rPr>
        <w:t xml:space="preserve">2. Approved Use Cases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sz w:val="21"/>
          <w:szCs w:val="21"/>
        </w:rPr>
        <w:t xml:space="preserve">Drafting assistance for RMF artifacts (implementation statements, POA&amp;M narratives) with mandatory human review before submission.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sz w:val="21"/>
          <w:szCs w:val="21"/>
        </w:rPr>
        <w:t xml:space="preserve">Finding correlation and triage support (e.g., Nessus/ACAS output correlation against threat context) where outputs are reviewable and traceable.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sz w:val="21"/>
          <w:szCs w:val="21"/>
        </w:rPr>
        <w:t xml:space="preserve">Knowledge retrieval over approved, internal, non-CUI corpora.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sz w:val="21"/>
          <w:szCs w:val="21"/>
        </w:rPr>
        <w:t xml:space="preserve">New use cases enter through the AI &amp; Automation intake and require AI Cell approval before pilot.</w:t>
      </w:r>
    </w:p>
    <w:p>
      <w:pPr>
        <w:pStyle w:val="Heading2"/>
        <w:spacing w:after="90" w:before="220"/>
      </w:pPr>
      <w:r>
        <w:rPr>
          <w:b/>
          <w:bCs/>
          <w:color w:val="1E211C"/>
          <w:sz w:val="24"/>
          <w:szCs w:val="24"/>
        </w:rPr>
        <w:t xml:space="preserve">3. Data Boundaries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sz w:val="21"/>
          <w:szCs w:val="21"/>
        </w:rPr>
        <w:t xml:space="preserve">No CUI, PII, or operational vulnerability data into tools not authorized at the appropriate impact level for that data.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sz w:val="21"/>
          <w:szCs w:val="21"/>
        </w:rPr>
        <w:t xml:space="preserve">Prompts and outputs on approved tools are retained and auditable; use of personal accounts for official AI work is prohibited.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sz w:val="21"/>
          <w:szCs w:val="21"/>
        </w:rPr>
        <w:t xml:space="preserve">Model training or fine-tuning on portfolio data requires a documented data-use approval naming the dataset, purpose, and retention.</w:t>
      </w:r>
    </w:p>
    <w:p>
      <w:pPr>
        <w:pStyle w:val="Heading2"/>
        <w:spacing w:after="90" w:before="220"/>
      </w:pPr>
      <w:r>
        <w:rPr>
          <w:b/>
          <w:bCs/>
          <w:color w:val="1E211C"/>
          <w:sz w:val="24"/>
          <w:szCs w:val="24"/>
        </w:rPr>
        <w:t xml:space="preserve">4. Output Review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sz w:val="21"/>
          <w:szCs w:val="21"/>
        </w:rPr>
        <w:t xml:space="preserve">AI-drafted content is a draft, never a deliverable: a named human reviewer verifies factual claims, control citations, and system-specific accuracy before any use in a package.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sz w:val="21"/>
          <w:szCs w:val="21"/>
        </w:rPr>
        <w:t xml:space="preserve">AI-generated code follows the same secure code review path as human-written code, with the AI origin noted in the review record.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sz w:val="21"/>
          <w:szCs w:val="21"/>
        </w:rPr>
        <w:t xml:space="preserve">Decisions with risk consequence (severity ratings, closure verifications, authorization recommendations) are made by humans; AI may inform, not decide.</w:t>
      </w:r>
    </w:p>
    <w:p>
      <w:pPr>
        <w:pStyle w:val="Heading2"/>
        <w:spacing w:after="90" w:before="220"/>
      </w:pPr>
      <w:r>
        <w:rPr>
          <w:b/>
          <w:bCs/>
          <w:color w:val="1E211C"/>
          <w:sz w:val="24"/>
          <w:szCs w:val="24"/>
        </w:rPr>
        <w:t xml:space="preserve">5. Model Documentation</w:t>
      </w:r>
    </w:p>
    <w:p>
      <w:pPr>
        <w:spacing w:after="100"/>
      </w:pPr>
      <w:r>
        <w:rPr>
          <w:sz w:val="21"/>
          <w:szCs w:val="21"/>
        </w:rPr>
        <w:t xml:space="preserve">Each approved tool carries a model card in the AI Cell register: provider, model/version, hosting and data-flow description, approved use cases, prohibited uses, and the authorization or assessment reference under which it operates. Version changes by the provider trigger a register review.</w:t>
      </w:r>
    </w:p>
    <w:p>
      <w:pPr>
        <w:pStyle w:val="Heading2"/>
        <w:spacing w:after="90" w:before="220"/>
      </w:pPr>
      <w:r>
        <w:rPr>
          <w:b/>
          <w:bCs/>
          <w:color w:val="1E211C"/>
          <w:sz w:val="24"/>
          <w:szCs w:val="24"/>
        </w:rPr>
        <w:t xml:space="preserve">6. Incident Handling</w:t>
      </w:r>
    </w:p>
    <w:p>
      <w:pPr>
        <w:spacing w:after="100"/>
      </w:pPr>
      <w:r>
        <w:rPr>
          <w:sz w:val="21"/>
          <w:szCs w:val="21"/>
        </w:rPr>
        <w:t xml:space="preserve">Suspected data exposure through an AI tool is handled as a spill or incident per the Incident Response Policy, with the AI Cell added to the notification chain.</w:t>
      </w:r>
    </w:p>
    <w:p>
      <w:pPr>
        <w:pStyle w:val="Heading2"/>
        <w:spacing w:after="90" w:before="220"/>
      </w:pPr>
      <w:r>
        <w:rPr>
          <w:b/>
          <w:bCs/>
          <w:color w:val="1E211C"/>
          <w:sz w:val="24"/>
          <w:szCs w:val="24"/>
        </w:rPr>
        <w:t xml:space="preserve">Revision Log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520"/>
      </w:tblGrid>
      <w:tr>
        <w:tc>
          <w:tcPr>
            <w:tcW w:type="dxa" w:w="2200"/>
            <w:shd w:fill="F4F5EF" w:val="clear"/>
          </w:tcPr>
          <w:p>
            <w:r>
              <w:rPr>
                <w:b/>
                <w:bCs/>
                <w:sz w:val="19"/>
                <w:szCs w:val="19"/>
              </w:rPr>
              <w:t xml:space="preserve">v1.0 — 2026-05-15</w:t>
            </w:r>
          </w:p>
        </w:tc>
        <w:tc>
          <w:tcPr>
            <w:tcW w:type="dxa" w:w="7520"/>
          </w:tcPr>
          <w:p>
            <w:r>
              <w:rPr>
                <w:sz w:val="20"/>
                <w:szCs w:val="20"/>
              </w:rPr>
              <w:t xml:space="preserve">Initial issue. 90-day review cycle in effect until v1.1.</w:t>
            </w:r>
          </w:p>
        </w:tc>
      </w:tr>
    </w:tbl>
    <w:sectPr>
      <w:pgSz w:w="12240" w:h="15840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2026-07-02T12:38:41.742Z</dcterms:created>
  <dcterms:modified xsi:type="dcterms:W3CDTF">2026-07-02T12:38:41.742Z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