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EDEFE6" w:val="clear"/>
        <w:spacing w:after="160"/>
        <w:jc w:val="center"/>
      </w:pPr>
      <w:r>
        <w:rPr>
          <w:rFonts w:ascii="Consolas" w:cs="Consolas" w:eastAsia="Consolas" w:hAnsi="Consolas"/>
          <w:b/>
          <w:bCs/>
          <w:color w:val="4B5320"/>
          <w:sz w:val="16"/>
          <w:szCs w:val="16"/>
        </w:rPr>
        <w:t xml:space="preserve">UNCLASSIFIED // DEMONSTRATION DOCUMENT — NO CUI OR CLASSIFIED DATA</w:t>
      </w:r>
    </w:p>
    <w:p>
      <w:pPr>
        <w:pStyle w:val="Heading1"/>
        <w:spacing w:after="60"/>
      </w:pPr>
      <w:r>
        <w:rPr>
          <w:b/>
          <w:bCs/>
          <w:color w:val="4B5320"/>
          <w:sz w:val="32"/>
          <w:szCs w:val="32"/>
        </w:rPr>
        <w:t xml:space="preserve">Incident Response Policy</w:t>
      </w:r>
    </w:p>
    <w:p>
      <w:pPr>
        <w:spacing w:after="140"/>
      </w:pPr>
      <w:r>
        <w:rPr>
          <w:rFonts w:ascii="Consolas" w:cs="Consolas" w:eastAsia="Consolas" w:hAnsi="Consolas"/>
          <w:color w:val="5A6157"/>
          <w:sz w:val="18"/>
          <w:szCs w:val="18"/>
        </w:rPr>
        <w:t xml:space="preserve">CCOE-POL-IR-010 · v3.1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820"/>
      </w:tblGrid>
      <w:tr>
        <w:tc>
          <w:tcPr>
            <w:tcW w:type="dxa" w:w="2900"/>
            <w:shd w:fill="F4F5EF" w:val="clear"/>
          </w:tcPr>
          <w:p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OWNER</w:t>
            </w:r>
          </w:p>
        </w:tc>
        <w:tc>
          <w:tcPr>
            <w:tcW w:type="dxa" w:w="6820"/>
          </w:tcPr>
          <w:p>
            <w:r>
              <w:rPr>
                <w:sz w:val="20"/>
                <w:szCs w:val="20"/>
              </w:rPr>
              <w:t xml:space="preserve">Incident Response Cell — CCoE</w:t>
            </w:r>
          </w:p>
        </w:tc>
      </w:tr>
      <w:tr>
        <w:tc>
          <w:tcPr>
            <w:tcW w:type="dxa" w:w="2900"/>
            <w:shd w:fill="F4F5EF" w:val="clear"/>
          </w:tcPr>
          <w:p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CURRENT VERSION</w:t>
            </w:r>
          </w:p>
        </w:tc>
        <w:tc>
          <w:tcPr>
            <w:tcW w:type="dxa" w:w="6820"/>
          </w:tcPr>
          <w:p>
            <w:r>
              <w:rPr>
                <w:sz w:val="20"/>
                <w:szCs w:val="20"/>
              </w:rPr>
              <w:t xml:space="preserve">v3.1</w:t>
            </w:r>
          </w:p>
        </w:tc>
      </w:tr>
      <w:tr>
        <w:tc>
          <w:tcPr>
            <w:tcW w:type="dxa" w:w="2900"/>
            <w:shd w:fill="F4F5EF" w:val="clear"/>
          </w:tcPr>
          <w:p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EFFECTIVE DATE</w:t>
            </w:r>
          </w:p>
        </w:tc>
        <w:tc>
          <w:tcPr>
            <w:tcW w:type="dxa" w:w="6820"/>
          </w:tcPr>
          <w:p>
            <w:r>
              <w:rPr>
                <w:sz w:val="20"/>
                <w:szCs w:val="20"/>
              </w:rPr>
              <w:t xml:space="preserve">2026-04-25</w:t>
            </w:r>
          </w:p>
        </w:tc>
      </w:tr>
      <w:tr>
        <w:tc>
          <w:tcPr>
            <w:tcW w:type="dxa" w:w="2900"/>
            <w:shd w:fill="F4F5EF" w:val="clear"/>
          </w:tcPr>
          <w:p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MANDATED REVIEW DATE</w:t>
            </w:r>
          </w:p>
        </w:tc>
        <w:tc>
          <w:tcPr>
            <w:tcW w:type="dxa" w:w="6820"/>
          </w:tcPr>
          <w:p>
            <w:r>
              <w:rPr>
                <w:sz w:val="20"/>
                <w:szCs w:val="20"/>
              </w:rPr>
              <w:t xml:space="preserve">2026-10-25</w:t>
            </w:r>
          </w:p>
        </w:tc>
      </w:tr>
      <w:tr>
        <w:tc>
          <w:tcPr>
            <w:tcW w:type="dxa" w:w="2900"/>
            <w:shd w:fill="F4F5EF" w:val="clear"/>
          </w:tcPr>
          <w:p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APPLICABILITY</w:t>
            </w:r>
          </w:p>
        </w:tc>
        <w:tc>
          <w:tcPr>
            <w:tcW w:type="dxa" w:w="6820"/>
          </w:tcPr>
          <w:p>
            <w:r>
              <w:rPr>
                <w:sz w:val="20"/>
                <w:szCs w:val="20"/>
              </w:rPr>
              <w:t xml:space="preserve">All systems in the Army cyber portfolio under CCoE cognizance</w:t>
            </w:r>
          </w:p>
        </w:tc>
      </w:tr>
      <w:tr>
        <w:tc>
          <w:tcPr>
            <w:tcW w:type="dxa" w:w="2900"/>
            <w:shd w:fill="F4F5EF" w:val="clear"/>
          </w:tcPr>
          <w:p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APPROVAL AUTHORITY</w:t>
            </w:r>
          </w:p>
        </w:tc>
        <w:tc>
          <w:tcPr>
            <w:tcW w:type="dxa" w:w="6820"/>
          </w:tcPr>
          <w:p>
            <w:r>
              <w:rPr>
                <w:sz w:val="20"/>
                <w:szCs w:val="20"/>
              </w:rPr>
              <w:t xml:space="preserve">CISO</w:t>
            </w:r>
          </w:p>
        </w:tc>
      </w:tr>
      <w:tr>
        <w:tc>
          <w:tcPr>
            <w:tcW w:type="dxa" w:w="2900"/>
            <w:shd w:fill="F4F5EF" w:val="clear"/>
          </w:tcPr>
          <w:p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RELATED TEMPLATES</w:t>
            </w:r>
          </w:p>
        </w:tc>
        <w:tc>
          <w:tcPr>
            <w:tcW w:type="dxa" w:w="6820"/>
          </w:tcPr>
          <w:p>
            <w:r>
              <w:rPr>
                <w:sz w:val="20"/>
                <w:szCs w:val="20"/>
              </w:rPr>
              <w:t xml:space="preserve">Tabletop Exercise Playbooks v1.9; CUI Handling Directive v2.2</w:t>
            </w:r>
          </w:p>
        </w:tc>
      </w:tr>
      <w:tr>
        <w:tc>
          <w:tcPr>
            <w:tcW w:type="dxa" w:w="2900"/>
            <w:shd w:fill="F4F5EF" w:val="clear"/>
          </w:tcPr>
          <w:p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SUPERSEDED DOCUMENTS</w:t>
            </w:r>
          </w:p>
        </w:tc>
        <w:tc>
          <w:tcPr>
            <w:tcW w:type="dxa" w:w="6820"/>
          </w:tcPr>
          <w:p>
            <w:r>
              <w:rPr>
                <w:sz w:val="20"/>
                <w:szCs w:val="20"/>
              </w:rPr>
              <w:t xml:space="preserve">IR Policy v3.0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 </w:t>
      </w:r>
    </w:p>
    <w:p>
      <w:pPr>
        <w:pStyle w:val="Heading2"/>
        <w:spacing w:after="90" w:before="220"/>
      </w:pPr>
      <w:r>
        <w:rPr>
          <w:b/>
          <w:bCs/>
          <w:color w:val="1E211C"/>
          <w:sz w:val="24"/>
          <w:szCs w:val="24"/>
        </w:rPr>
        <w:t xml:space="preserve">1. Purpose</w:t>
      </w:r>
    </w:p>
    <w:p>
      <w:pPr>
        <w:spacing w:after="100"/>
      </w:pPr>
      <w:r>
        <w:rPr>
          <w:sz w:val="21"/>
          <w:szCs w:val="21"/>
        </w:rPr>
        <w:t xml:space="preserve">Establishes incident categories, binding escalation timelines, evidence preservation requirements, and after-action discipline. The Incident Response node operationalizes this policy; the timelines here are the authoritative version.</w:t>
      </w:r>
    </w:p>
    <w:p>
      <w:pPr>
        <w:pStyle w:val="Heading2"/>
        <w:spacing w:after="90" w:before="220"/>
      </w:pPr>
      <w:r>
        <w:rPr>
          <w:b/>
          <w:bCs/>
          <w:color w:val="1E211C"/>
          <w:sz w:val="24"/>
          <w:szCs w:val="24"/>
        </w:rPr>
        <w:t xml:space="preserve">2. Reporting Principle</w:t>
      </w:r>
    </w:p>
    <w:p>
      <w:pPr>
        <w:spacing w:after="100"/>
      </w:pPr>
      <w:r>
        <w:rPr>
          <w:sz w:val="21"/>
          <w:szCs w:val="21"/>
        </w:rPr>
        <w:t xml:space="preserve">Incomplete and fast beats complete and late. Initial reports use the who/what/when/where/observed-behavior structure and are sent with whatever is known. No one is penalized for a good-faith report that turns out benign.</w:t>
      </w:r>
    </w:p>
    <w:p>
      <w:pPr>
        <w:pStyle w:val="Heading2"/>
        <w:spacing w:after="90" w:before="220"/>
      </w:pPr>
      <w:r>
        <w:rPr>
          <w:b/>
          <w:bCs/>
          <w:color w:val="1E211C"/>
          <w:sz w:val="24"/>
          <w:szCs w:val="24"/>
        </w:rPr>
        <w:t xml:space="preserve">3. Categories and Initial Notification Timelines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sz w:val="21"/>
          <w:szCs w:val="21"/>
        </w:rPr>
        <w:t xml:space="preserve">CAT 1 — Root-level intrusion or confirmed data exfiltration: watch desk immediately; ISSM and CISO within 1 hour.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sz w:val="21"/>
          <w:szCs w:val="21"/>
        </w:rPr>
        <w:t xml:space="preserve">CAT 2 — User-level intrusion or active malware not yet contained: watch desk within 1 hour; ISSM within 2 hours.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sz w:val="21"/>
          <w:szCs w:val="21"/>
        </w:rPr>
        <w:t xml:space="preserve">CAT 3 — Attempted access / reconnaissance blocked at the boundary: log and report in the daily rollup.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sz w:val="21"/>
          <w:szCs w:val="21"/>
        </w:rPr>
        <w:t xml:space="preserve">CUI spill — spill clock starts at discovery; notifications per the spill procedure below, first notification within 1 hour.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sz w:val="21"/>
          <w:szCs w:val="21"/>
        </w:rPr>
        <w:t xml:space="preserve">Asset loss (device lost/stolen) — supervisor and watch desk within 1 hour of discovery; encryption posture verified from enterprise records within 4 hours.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sz w:val="21"/>
          <w:szCs w:val="21"/>
        </w:rPr>
        <w:t xml:space="preserve">Suspected phishing click — user reports within 1 hour of the click; credential reset and session revocation immediately upon report.</w:t>
      </w:r>
    </w:p>
    <w:p>
      <w:pPr>
        <w:pStyle w:val="Heading2"/>
        <w:spacing w:after="90" w:before="220"/>
      </w:pPr>
      <w:r>
        <w:rPr>
          <w:b/>
          <w:bCs/>
          <w:color w:val="1E211C"/>
          <w:sz w:val="24"/>
          <w:szCs w:val="24"/>
        </w:rPr>
        <w:t xml:space="preserve">4. Escalation and Authority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sz w:val="21"/>
          <w:szCs w:val="21"/>
        </w:rPr>
        <w:t xml:space="preserve">Containment authority (including disconnect decisions) is pre-delegated to the IR lead for CAT 1/2; mission-impact consultation with the System Owner happens in parallel, not as a precondition.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sz w:val="21"/>
          <w:szCs w:val="21"/>
        </w:rPr>
        <w:t xml:space="preserve">Counterintelligence-sensitive indicators (e.g., insider data staging) bring in the CI liaison before any action that could alert a subject.</w:t>
      </w:r>
    </w:p>
    <w:p>
      <w:pPr>
        <w:pStyle w:val="Heading2"/>
        <w:spacing w:after="90" w:before="220"/>
      </w:pPr>
      <w:r>
        <w:rPr>
          <w:b/>
          <w:bCs/>
          <w:color w:val="1E211C"/>
          <w:sz w:val="24"/>
          <w:szCs w:val="24"/>
        </w:rPr>
        <w:t xml:space="preserve">5. Evidence Preservation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sz w:val="21"/>
          <w:szCs w:val="21"/>
        </w:rPr>
        <w:t xml:space="preserve">Preserve before you clean: volatile data captured where feasible, disk images before reimaging on CAT 1/2, and chain-of-custody records for anything that may support adjudication.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sz w:val="21"/>
          <w:szCs w:val="21"/>
        </w:rPr>
        <w:t xml:space="preserve">Every action is timestamped in the incident log while the clock runs — reconstruction from memory after the fact is an audit finding.</w:t>
      </w:r>
    </w:p>
    <w:p>
      <w:pPr>
        <w:pStyle w:val="Heading2"/>
        <w:spacing w:after="90" w:before="220"/>
      </w:pPr>
      <w:r>
        <w:rPr>
          <w:b/>
          <w:bCs/>
          <w:color w:val="1E211C"/>
          <w:sz w:val="24"/>
          <w:szCs w:val="24"/>
        </w:rPr>
        <w:t xml:space="preserve">6. Spill Procedure (summary)</w:t>
      </w:r>
    </w:p>
    <w:p>
      <w:pPr>
        <w:pStyle w:val="ListParagraph"/>
        <w:numPr>
          <w:ilvl w:val="0"/>
          <w:numId w:val="3"/>
        </w:numPr>
        <w:spacing w:after="55"/>
      </w:pPr>
      <w:r>
        <w:rPr>
          <w:sz w:val="21"/>
          <w:szCs w:val="21"/>
        </w:rPr>
        <w:t xml:space="preserve">Start the spill clock and identify the CUI category involved.</w:t>
      </w:r>
    </w:p>
    <w:p>
      <w:pPr>
        <w:pStyle w:val="ListParagraph"/>
        <w:numPr>
          <w:ilvl w:val="0"/>
          <w:numId w:val="3"/>
        </w:numPr>
        <w:spacing w:after="55"/>
      </w:pPr>
      <w:r>
        <w:rPr>
          <w:sz w:val="21"/>
          <w:szCs w:val="21"/>
        </w:rPr>
        <w:t xml:space="preserve">Notify in order: watch desk → ISSM → information owner → receiving-party POCs.</w:t>
      </w:r>
    </w:p>
    <w:p>
      <w:pPr>
        <w:pStyle w:val="ListParagraph"/>
        <w:numPr>
          <w:ilvl w:val="0"/>
          <w:numId w:val="3"/>
        </w:numPr>
        <w:spacing w:after="55"/>
      </w:pPr>
      <w:r>
        <w:rPr>
          <w:sz w:val="21"/>
          <w:szCs w:val="21"/>
        </w:rPr>
        <w:t xml:space="preserve">Contain: recall, disable sync, isolate affected mailboxes/devices.</w:t>
      </w:r>
    </w:p>
    <w:p>
      <w:pPr>
        <w:pStyle w:val="ListParagraph"/>
        <w:numPr>
          <w:ilvl w:val="0"/>
          <w:numId w:val="3"/>
        </w:numPr>
        <w:spacing w:after="55"/>
      </w:pPr>
      <w:r>
        <w:rPr>
          <w:sz w:val="21"/>
          <w:szCs w:val="21"/>
        </w:rPr>
        <w:t xml:space="preserve">Sanitize per the CUI directive; preservation takes precedence where adjudication may be required — legal resolves conflicts.</w:t>
      </w:r>
    </w:p>
    <w:p>
      <w:pPr>
        <w:pStyle w:val="ListParagraph"/>
        <w:numPr>
          <w:ilvl w:val="0"/>
          <w:numId w:val="3"/>
        </w:numPr>
        <w:spacing w:after="55"/>
      </w:pPr>
      <w:r>
        <w:rPr>
          <w:sz w:val="21"/>
          <w:szCs w:val="21"/>
        </w:rPr>
        <w:t xml:space="preserve">Document every action with times; file the after-action within 5 business days.</w:t>
      </w:r>
    </w:p>
    <w:p>
      <w:pPr>
        <w:pStyle w:val="Heading2"/>
        <w:spacing w:after="90" w:before="220"/>
      </w:pPr>
      <w:r>
        <w:rPr>
          <w:b/>
          <w:bCs/>
          <w:color w:val="1E211C"/>
          <w:sz w:val="24"/>
          <w:szCs w:val="24"/>
        </w:rPr>
        <w:t xml:space="preserve">7. After-Action Discipline</w:t>
      </w:r>
    </w:p>
    <w:p>
      <w:pPr>
        <w:spacing w:after="100"/>
      </w:pPr>
      <w:r>
        <w:rPr>
          <w:sz w:val="21"/>
          <w:szCs w:val="21"/>
        </w:rPr>
        <w:t xml:space="preserve">Every CAT 1/2 incident and every spill produces an after-action report within 5 business days: timeline, decisions, gaps, and POA&amp;M or SOP updates generated. Quarterly tabletop exercises use the published playbooks; participation is recorded.</w:t>
      </w:r>
    </w:p>
    <w:p>
      <w:pPr>
        <w:pStyle w:val="Heading2"/>
        <w:spacing w:after="90" w:before="220"/>
      </w:pPr>
      <w:r>
        <w:rPr>
          <w:b/>
          <w:bCs/>
          <w:color w:val="1E211C"/>
          <w:sz w:val="24"/>
          <w:szCs w:val="24"/>
        </w:rPr>
        <w:t xml:space="preserve">Revision Log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520"/>
      </w:tblGrid>
      <w:tr>
        <w:tc>
          <w:tcPr>
            <w:tcW w:type="dxa" w:w="2200"/>
            <w:shd w:fill="F4F5EF" w:val="clear"/>
          </w:tcPr>
          <w:p>
            <w:r>
              <w:rPr>
                <w:b/>
                <w:bCs/>
                <w:sz w:val="19"/>
                <w:szCs w:val="19"/>
              </w:rPr>
              <w:t xml:space="preserve">v3.1 — 2026-04-25</w:t>
            </w:r>
          </w:p>
        </w:tc>
        <w:tc>
          <w:tcPr>
            <w:tcW w:type="dxa" w:w="7520"/>
          </w:tcPr>
          <w:p>
            <w:r>
              <w:rPr>
                <w:sz w:val="20"/>
                <w:szCs w:val="20"/>
              </w:rPr>
              <w:t xml:space="preserve">Pre-delegated containment authority formalized; phishing-click timeline added.</w:t>
            </w:r>
          </w:p>
        </w:tc>
      </w:tr>
    </w:tbl>
    <w:sectPr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2026-07-02T12:38:41.672Z</dcterms:created>
  <dcterms:modified xsi:type="dcterms:W3CDTF">2026-07-02T12:38:41.672Z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