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DEFE6" w:val="clear"/>
        <w:spacing w:after="160"/>
        <w:jc w:val="center"/>
      </w:pPr>
      <w:r>
        <w:rPr>
          <w:rFonts w:ascii="Consolas" w:cs="Consolas" w:eastAsia="Consolas" w:hAnsi="Consolas"/>
          <w:b/>
          <w:bCs/>
          <w:color w:val="4B5320"/>
          <w:sz w:val="16"/>
          <w:szCs w:val="16"/>
        </w:rPr>
        <w:t xml:space="preserve">UNCLASSIFIED // DEMONSTRATION DOCUMENT — NO CUI OR CLASSIFIED DATA</w:t>
      </w:r>
    </w:p>
    <w:p>
      <w:pPr>
        <w:pStyle w:val="Heading1"/>
        <w:spacing w:after="60"/>
      </w:pPr>
      <w:r>
        <w:rPr>
          <w:b/>
          <w:bCs/>
          <w:color w:val="4B5320"/>
          <w:sz w:val="32"/>
          <w:szCs w:val="32"/>
        </w:rPr>
        <w:t xml:space="preserve">OT / XR / AR / VR Framework</w:t>
      </w:r>
    </w:p>
    <w:p>
      <w:pPr>
        <w:spacing w:after="140"/>
      </w:pPr>
      <w:r>
        <w:rPr>
          <w:rFonts w:ascii="Consolas" w:cs="Consolas" w:eastAsia="Consolas" w:hAnsi="Consolas"/>
          <w:color w:val="5A6157"/>
          <w:sz w:val="18"/>
          <w:szCs w:val="18"/>
        </w:rPr>
        <w:t xml:space="preserve">CCOE-FWK-OT-013 · v1.3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820"/>
      </w:tblGrid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OWNER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Engineering Center — CCoE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CURRENT VERSION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v1.3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2026-01-15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MANDATED REVIEW DATE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2026-07-15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APPLICABILITY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Operational technology and extended-reality systems (e.g., RANGE-OT, TRNG-SIM-2)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APPROVAL AUTHORITY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AODR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RELATED TEMPLATES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Closed Network Audit Standard v1.5; Standalone System Boundaries SOP v1.8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SUPERSEDED DOCUMENTS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OT Framework v1.2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1. Purpose</w:t>
      </w:r>
    </w:p>
    <w:p>
      <w:pPr>
        <w:spacing w:after="100"/>
      </w:pPr>
      <w:r>
        <w:rPr>
          <w:sz w:val="21"/>
          <w:szCs w:val="21"/>
        </w:rPr>
        <w:t xml:space="preserve">Adapts portfolio security requirements to operational technology and extended-reality systems: segmentation, safety-system precedence, firmware management, and assessment adaptations.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2. Segmentation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OT segments are isolated from IT networks by default; any IT/OT data path is a controlled interface documented on the boundary diagram with protocol, direction, and enforcement point.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Instrumentation and safety segments never share a broadcast domain with user or business networks.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Remote access to OT is disabled by default; where mission-justified, it is time-boxed, MFA-enforced, and session-recorded.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3. Safety-System Precedence</w:t>
      </w:r>
    </w:p>
    <w:p>
      <w:pPr>
        <w:spacing w:after="100"/>
      </w:pPr>
      <w:r>
        <w:rPr>
          <w:sz w:val="21"/>
          <w:szCs w:val="21"/>
        </w:rPr>
        <w:t xml:space="preserve">Where a security control could interfere with a safety function, safety wins — and the conflict is documented as a tailoring decision with compensating controls. Security actions on live-fire or personnel-safety systems (scans, patches, config changes) occur only in scheduled windows with the safety officer's concurrence.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4. Firmware Management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Firmware versions are inventoried per device in the HW/SW inventory; drift is a finding (see PM-2523 as the worked pattern).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Updates validate in a test enclave before touching production instrumentation.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End-of-support firmware enters the risk register with a replacement evaluation and, where operation continues, a Risk Acceptance Memorandum with review triggers (pattern: DR-2026-022).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5. XR/AR/VR Specifics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Headset and sensor data flows (audio, video, spatial mapping) are documented as data types in categorization — spatial capture of controlled areas is treated as imagery of that area.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Training simulators (e.g., TRNG-SIM-2) hold no operational data; scenario data is fictional by design and validated as such at content review.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Device fleets are centrally managed; personally owned XR devices are prohibited on portfolio networks.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6. Assessment Adaptations</w:t>
      </w:r>
    </w:p>
    <w:p>
      <w:pPr>
        <w:spacing w:after="100"/>
      </w:pPr>
      <w:r>
        <w:rPr>
          <w:sz w:val="21"/>
          <w:szCs w:val="21"/>
        </w:rPr>
        <w:t xml:space="preserve">Active scanning of fragile OT components may be replaced with passive monitoring, configuration review, and vendor-attested test results — substitutions documented in the SAP and approved at TRR. Closed OT networks audit annually per the Closed Network Audit Standard.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Revision Log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20"/>
      </w:tblGrid>
      <w:tr>
        <w:tc>
          <w:tcPr>
            <w:tcW w:type="dxa" w:w="2200"/>
            <w:shd w:fill="F4F5EF" w:val="clear"/>
          </w:tcPr>
          <w:p>
            <w:r>
              <w:rPr>
                <w:b/>
                <w:bCs/>
                <w:sz w:val="19"/>
                <w:szCs w:val="19"/>
              </w:rPr>
              <w:t xml:space="preserve">v1.3 — 2026-01-15</w:t>
            </w:r>
          </w:p>
        </w:tc>
        <w:tc>
          <w:tcPr>
            <w:tcW w:type="dxa" w:w="7520"/>
          </w:tcPr>
          <w:p>
            <w:r>
              <w:rPr>
                <w:sz w:val="20"/>
                <w:szCs w:val="20"/>
              </w:rPr>
              <w:t xml:space="preserve">XR data-type guidance added; firmware drift handling aligned to POA&amp;M policy.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2026-07-02T12:38:41.755Z</dcterms:created>
  <dcterms:modified xsi:type="dcterms:W3CDTF">2026-07-02T12:38:41.755Z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