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Reciprocity Acceptance Policy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CCOE-POL-RA-014 · v1.7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RMF Branch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v1.7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2026-03-20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2026-09-20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AO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Assessment Readiness Package v2.2; RMF Execution Policy v4.0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Reciprocity Policy v1.6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Defines the terms under which this portfolio accepts an external authorization body of evidence (BoE) in lieu of a full local assessment: completeness criteria, delta risk assessment, and the documented acceptance decision.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Principle</w:t>
      </w:r>
    </w:p>
    <w:p>
      <w:pPr>
        <w:spacing w:after="100"/>
      </w:pPr>
      <w:r>
        <w:rPr>
          <w:sz w:val="21"/>
          <w:szCs w:val="21"/>
        </w:rPr>
        <w:t xml:space="preserve">Reciprocity means accepting evidence, not outsourcing risk. The AO still owns the local authorization decision; reciprocity changes what must be re-assessed, never who accepts the risk.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BoE Completeness Criteria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Current authorization decision from the originating official, with type, date, and expiration.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SSP, SAR, and POA&amp;M current within the originating organization's ConMon cycle — a stale BoE (no ConMon evidence in 6 months) is incomplete.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Categorization and any tailoring decisions with rationale.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Description of the assessed environment sufficient to compare against ours.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Point of contact authorized to answer assessment questions.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Delta Risk Assessment</w:t>
      </w:r>
    </w:p>
    <w:p>
      <w:pPr>
        <w:spacing w:after="100"/>
      </w:pPr>
      <w:r>
        <w:rPr>
          <w:sz w:val="21"/>
          <w:szCs w:val="21"/>
        </w:rPr>
        <w:t xml:space="preserve">The receiving ISSM performs a documented delta assessment covering: environment differences (hosting, connectivity, data types), controls assessed in a materially different context, local overlay requirements not covered by the BoE, and open POA&amp;M items inherited with the system. Delta findings enter the local POA&amp;M; delta scope defines any supplemental assessment.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Acceptance Decision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ISSM validates BoE completeness against Section 3 (incomplete → return to the originating org with the gap list; see PAY-GW as the current worked case).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Delta assessment documented and findings dispositioned.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AO records the acceptance decision naming the BoE version accepted, the delta report, and any conditions.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Accepted system enters local ConMon per the Continuous Monitoring Parameters from the acceptance date.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Withdrawal</w:t>
      </w:r>
    </w:p>
    <w:p>
      <w:pPr>
        <w:spacing w:after="100"/>
      </w:pPr>
      <w:r>
        <w:rPr>
          <w:sz w:val="21"/>
          <w:szCs w:val="21"/>
        </w:rPr>
        <w:t xml:space="preserve">Acceptance is withdrawn if the originating authorization lapses, a material change occurs without notification, or ConMon evidence stops flowing. Withdrawal triggers pathway re-selection under the RMF Execution Policy.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v1.7 — 2026-03-20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Six-month ConMon staleness test added; withdrawal triggers consolidated.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2026-07-02T12:38:41.799Z</dcterms:created>
  <dcterms:modified xsi:type="dcterms:W3CDTF">2026-07-02T12:38:41.799Z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