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Vulnerability Management Windows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CCOE-POL-VM-004 · v3.0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Vulnerability Management Cell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2026-11-01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POA&amp;M Entry &amp; Closure Evidence Forms v3.3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VM Windows v2.x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Establishes severity-based remediation timelines, SLA enforcement, and the exception and false-positive loops. Timelines start at detection, not at triage.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Remediation Windows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CISA KEV-listed — 7 days. Hard deadline; no extensions. Emergency patch path authorized (test-stage-deploy compressed with rollback plan).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Critical (CAT I) — 15 days. ISSM notified at day 10.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High (CAT II) — 30 days. ISSM notified at day 21.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Medium — 90 days. Monthly review cadence.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Low (CAT III) — 180 days.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SLA Enforcement and Escalation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Any CAT I open past its window, or any system with 3+ overdue items of any severity, appears on the next CISO portfolio review with the owning ISSM named.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Items reaching 80% of their window without a completed milestone surface automatically to the ISSM as At Risk.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KEV items are tracked daily on the Threat Intelligence KEV map until verified closed.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Triage Workflow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Validate the finding (rule out scanner error, confirm affected asset).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Rate severity — KEV listing overrides CVSS-derived severity.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Assign a responsible party with authority to remediate.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Open the POA&amp;M entry with dated milestones — within 5 business days of scan.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Exceptions</w:t>
      </w:r>
    </w:p>
    <w:p>
      <w:pPr>
        <w:spacing w:after="100"/>
      </w:pPr>
      <w:r>
        <w:rPr>
          <w:sz w:val="21"/>
          <w:szCs w:val="21"/>
        </w:rPr>
        <w:t xml:space="preserve">Exceptions require a Risk Acceptance Memorandum v2.5 stating residual risk, compensating controls, acceptance period, and review trigger. Exceptions are time-boxed; standing exceptions do not exist. KEV items are not exception-eligible except where the affected component is on a physically isolated network with AO acceptance on file.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False Positives</w:t>
      </w:r>
    </w:p>
    <w:p>
      <w:pPr>
        <w:spacing w:after="100"/>
      </w:pPr>
      <w:r>
        <w:rPr>
          <w:sz w:val="21"/>
          <w:szCs w:val="21"/>
        </w:rPr>
        <w:t xml:space="preserve">FP claims route through the exception loop with technical justification (configuration proof or vendor documentation). FP approval is not permanent — every approved FP revalidates annually and on scanner signature updates for the affected plugin.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7. Patch Management Standard</w:t>
      </w:r>
    </w:p>
    <w:p>
      <w:pPr>
        <w:spacing w:after="100"/>
      </w:pPr>
      <w:r>
        <w:rPr>
          <w:sz w:val="21"/>
          <w:szCs w:val="21"/>
        </w:rPr>
        <w:t xml:space="preserve">Test → stage → deploy with a written rollback plan. Emergency path for KEV items compresses stages but never skips the rollback plan. Patch evidence is the post-remediation scan, not the change ticket.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v3.0 — 2026-05-01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KEV window formalized at 7 days with emergency path; At-Risk auto-surfacing at 80% of window added.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2026-07-02T12:38:41.513Z</dcterms:created>
  <dcterms:modified xsi:type="dcterms:W3CDTF">2026-07-02T12:38:41.513Z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