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Tabletop Exercise Playbook — CUI Spill, Cross-Domain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v1.9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2026-03-28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2026-09-28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Incident Response SOP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TTX v1.8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90 minutes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ISSOs, spill response cell, records manager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Fictional TRNG-SIM-2 training environment — nothing touches a real boundary.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Scenario</w:t>
      </w:r>
    </w:p>
    <w:p>
      <w:pPr>
        <w:spacing w:after="100"/>
      </w:pPr>
      <w:r>
        <w:rPr>
          <w:sz w:val="21"/>
          <w:szCs w:val="21"/>
        </w:rPr>
        <w:t xml:space="preserve">A staffer emails a CUI-marked assessment worksheet to a distribution list that includes an uncleared contractor domain. The message replicates to two mailboxes and one mobile device before recall.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Exercise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Enforce spill clock discipline and correct notification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Practice sanitization decisions across domains and device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Document every action for the record while the clock runs.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Timed Injects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T+0:05 — </w:t>
      </w:r>
      <w:r>
        <w:rPr>
          <w:sz w:val="21"/>
          <w:szCs w:val="21"/>
        </w:rPr>
        <w:t xml:space="preserve">Sender self-reports. Start the spill clock: which category and which timeline applies?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T+0:20 — </w:t>
      </w:r>
      <w:r>
        <w:rPr>
          <w:sz w:val="21"/>
          <w:szCs w:val="21"/>
        </w:rPr>
        <w:t xml:space="preserve">Contractor confirms receipt on a personal device synced via IMAP.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T+0:50 — </w:t>
      </w:r>
      <w:r>
        <w:rPr>
          <w:sz w:val="21"/>
          <w:szCs w:val="21"/>
        </w:rPr>
        <w:t xml:space="preserve">Legal asks whether sanitization or preservation takes precedence for the mobile device.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Hot Wash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Where did the timeline slip, and which notification was hardest to make on time?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What evidence would we wish we had preserved if this were real?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Which decision required authority we had not pre-delegated?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After-Action Capture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Strengths observed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Gaps / friction points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POA&amp;M or SOP updates generated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Facilitator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2026-07-02T11:48:23.965Z</dcterms:created>
  <dcterms:modified xsi:type="dcterms:W3CDTF">2026-07-02T11:48:23.965Z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