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Assessment Readiness Package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2026-05-14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2026-11-14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AO Package Routing Checklist v2.9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ARP v2.1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Everything the SCA expects at Test Readiness Review, in routing order. Check each item and record the artifact location; incomplete rows block TRR.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Current SSP with all implementation statements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✔ eMASS artifact locker — SSP v6, uploaded 2026-06-01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As-built boundary &amp; data flow diagrams (validated after last change window)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✔ Diagram set v12, validated 2026-05-28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Hardware / software inventory with EOL &amp; STIG applicability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✔ HWSW-LOGNET04-2026-06.xlsx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Last 8 weekly ACAS credentialed scan results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✔ Scan archive W16–W23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Current-quarter STIG checklists (.ckl) for all applicable benchmarks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✔ 14 checklists, Q2 release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Open POA&amp;M export matching eMASS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✔ Export 2026-06-08, reconciled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Contingency plan + last test date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✔ CP v4, tested 2026-03-19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Incident response plan + last exercise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✔ IRP v5, TTX 2026-04-22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Account list + last privileged access review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✔ Review signed 2026-06-02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Interconnection agreements (ISAs/MOUs) current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 w:val="false"/>
                <w:iCs w:val="false"/>
                <w:color w:val="2B4C8C"/>
                <w:sz w:val="21"/>
                <w:szCs w:val="21"/>
              </w:rPr>
              <w:t xml:space="preserve">✔ ISA-2026-014 renewed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2026-07-02T11:48:23.885Z</dcterms:created>
  <dcterms:modified xsi:type="dcterms:W3CDTF">2026-07-02T11:48:23.885Z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