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EDEFE6" w:val="clear"/>
        <w:spacing w:after="160"/>
        <w:jc w:val="center"/>
      </w:pPr>
      <w:r>
        <w:rPr>
          <w:rFonts w:ascii="Consolas" w:cs="Consolas" w:eastAsia="Consolas" w:hAnsi="Consolas"/>
          <w:b/>
          <w:bCs/>
          <w:color w:val="4B5320"/>
          <w:sz w:val="16"/>
          <w:szCs w:val="16"/>
        </w:rPr>
        <w:t xml:space="preserve">UNCLASSIFIED // DEMONSTRATION TEMPLATE — NO CUI OR CLASSIFIED DATA</w:t>
      </w:r>
    </w:p>
    <w:p>
      <w:pPr>
        <w:pStyle w:val="Heading1"/>
        <w:spacing w:after="120"/>
      </w:pPr>
      <w:r>
        <w:rPr>
          <w:b/>
          <w:bCs/>
          <w:color w:val="4B5320"/>
          <w:sz w:val="32"/>
          <w:szCs w:val="32"/>
        </w:rPr>
        <w:t xml:space="preserve">Minor Change Memo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120"/>
      </w:tblGrid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OWNER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Cybersecurity Office — CCoE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VERSION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v2.0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EFFECTIVE DATE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2026-03-01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REVIEW DATE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2026-09-01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APPLICABILITY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All systems in the Army cyber portfolio under CCoE cognizance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APPROVAL AUTHORITY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CISO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RELATED TEMPLATES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Significant Change Request v3.2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SUPERSEDED DOCUMENTS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MCM v1.x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 </w:t>
      </w:r>
    </w:p>
    <w:p>
      <w:pPr>
        <w:spacing w:after="100"/>
      </w:pPr>
      <w:r>
        <w:rPr>
          <w:i/>
          <w:iCs/>
          <w:color w:val="5A6157"/>
          <w:sz w:val="19"/>
          <w:szCs w:val="19"/>
        </w:rPr>
        <w:t xml:space="preserve">Lightweight record for changes inside the approved baseline. If risk posture, boundary, or data types change, stop and file a Significant Change Request instead.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720"/>
      </w:tblGrid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Memo Number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 w:val="false"/>
                <w:iCs w:val="false"/>
                <w:color w:val="2B4C8C"/>
                <w:sz w:val="21"/>
                <w:szCs w:val="21"/>
              </w:rPr>
              <w:t xml:space="preserve">MCM-2026-118</w:t>
            </w:r>
          </w:p>
        </w:tc>
      </w:tr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System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 w:val="false"/>
                <w:iCs w:val="false"/>
                <w:color w:val="2B4C8C"/>
                <w:sz w:val="21"/>
                <w:szCs w:val="21"/>
              </w:rPr>
              <w:t xml:space="preserve">INTEL-FUS</w:t>
            </w:r>
          </w:p>
        </w:tc>
      </w:tr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Change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 w:val="false"/>
                <w:iCs w:val="false"/>
                <w:color w:val="2B4C8C"/>
                <w:sz w:val="21"/>
                <w:szCs w:val="21"/>
              </w:rPr>
              <w:t xml:space="preserve">Disable TLS 1.0 on internal reporting service; enforce TLS 1.2+.</w:t>
            </w:r>
          </w:p>
        </w:tc>
      </w:tr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Within Approved Baseline?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 w:val="false"/>
                <w:iCs w:val="false"/>
                <w:color w:val="2B4C8C"/>
                <w:sz w:val="21"/>
                <w:szCs w:val="21"/>
              </w:rPr>
              <w:t xml:space="preserve">Yes — protocol hardening per existing SC-8 implementation.</w:t>
            </w:r>
          </w:p>
        </w:tc>
      </w:tr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Rollback Plan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 w:val="false"/>
                <w:iCs w:val="false"/>
                <w:color w:val="2B4C8C"/>
                <w:sz w:val="21"/>
                <w:szCs w:val="21"/>
              </w:rPr>
              <w:t xml:space="preserve">Re-enable prior cipher policy from configuration backup (5-minute change window).</w:t>
            </w:r>
          </w:p>
        </w:tc>
      </w:tr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Implemented By / Date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 w:val="false"/>
                <w:iCs w:val="false"/>
                <w:color w:val="2B4C8C"/>
                <w:sz w:val="21"/>
                <w:szCs w:val="21"/>
              </w:rPr>
              <w:t xml:space="preserve">D. Chen — scheduled 2026-08-12 maintenance window.</w:t>
            </w:r>
          </w:p>
        </w:tc>
      </w:tr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ISSO Acknowledgment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 w:val="false"/>
                <w:iCs w:val="false"/>
                <w:color w:val="2B4C8C"/>
                <w:sz w:val="21"/>
                <w:szCs w:val="21"/>
              </w:rPr>
              <w:t xml:space="preserve">// initialed // DC 2026-06-09</w:t>
            </w:r>
          </w:p>
        </w:tc>
      </w:tr>
    </w:tbl>
    <w:sectPr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2026-07-02T11:48:23.828Z</dcterms:created>
  <dcterms:modified xsi:type="dcterms:W3CDTF">2026-07-02T11:48:23.828Z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