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EFE6" w:val="clear"/>
        <w:spacing w:after="160"/>
        <w:jc w:val="center"/>
      </w:pPr>
      <w:r>
        <w:rPr>
          <w:rFonts w:ascii="Consolas" w:cs="Consolas" w:eastAsia="Consolas" w:hAnsi="Consolas"/>
          <w:b/>
          <w:bCs/>
          <w:color w:val="4B5320"/>
          <w:sz w:val="16"/>
          <w:szCs w:val="16"/>
        </w:rPr>
        <w:t xml:space="preserve">UNCLASSIFIED // DEMONSTRATION DOCUMENT — NO CUI OR CLASSIFIED DATA</w:t>
      </w:r>
    </w:p>
    <w:p>
      <w:pPr>
        <w:pStyle w:val="Heading1"/>
        <w:spacing w:after="60"/>
      </w:pPr>
      <w:r>
        <w:rPr>
          <w:b/>
          <w:bCs/>
          <w:color w:val="4B5320"/>
          <w:sz w:val="32"/>
          <w:szCs w:val="32"/>
        </w:rPr>
        <w:t xml:space="preserve">Change Management Rubric</w:t>
      </w:r>
    </w:p>
    <w:p>
      <w:pPr>
        <w:spacing w:after="140"/>
      </w:pPr>
      <w:r>
        <w:rPr>
          <w:rFonts w:ascii="Consolas" w:cs="Consolas" w:eastAsia="Consolas" w:hAnsi="Consolas"/>
          <w:color w:val="5A6157"/>
          <w:sz w:val="18"/>
          <w:szCs w:val="18"/>
        </w:rPr>
        <w:t xml:space="preserve">CCOE-POL-CHG-002 · v3.2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shd w:fill="F4F5EF" w:val="clear"/>
          </w:tcPr>
          <w:p>
            <w:r>
              <w:rPr>
                <w:rFonts w:ascii="Consolas" w:cs="Consolas" w:eastAsia="Consolas" w:hAnsi="Consolas"/>
                <w:b/>
                <w:bCs/>
                <w:color w:val="4B5320"/>
                <w:sz w:val="18"/>
                <w:szCs w:val="18"/>
              </w:rPr>
              <w:t xml:space="preserve">OWNER</w:t>
            </w:r>
          </w:p>
        </w:tc>
        <w:tc>
          <w:tcPr>
            <w:tcW w:type="dxa" w:w="6820"/>
          </w:tcPr>
          <w:p>
            <w:r>
              <w:rPr>
                <w:sz w:val="20"/>
                <w:szCs w:val="20"/>
              </w:rPr>
              <w:t xml:space="preserve">RMF Branch — CCoE</w:t>
            </w:r>
          </w:p>
        </w:tc>
      </w:tr>
      <w:tr>
        <w:tc>
          <w:tcPr>
            <w:tcW w:type="dxa" w:w="2900"/>
            <w:shd w:fill="F4F5EF" w:val="clear"/>
          </w:tcPr>
          <w:p>
            <w:r>
              <w:rPr>
                <w:rFonts w:ascii="Consolas" w:cs="Consolas" w:eastAsia="Consolas" w:hAnsi="Consolas"/>
                <w:b/>
                <w:bCs/>
                <w:color w:val="4B5320"/>
                <w:sz w:val="18"/>
                <w:szCs w:val="18"/>
              </w:rPr>
              <w:t xml:space="preserve">CURRENT VERSION</w:t>
            </w:r>
          </w:p>
        </w:tc>
        <w:tc>
          <w:tcPr>
            <w:tcW w:type="dxa" w:w="6820"/>
          </w:tcPr>
          <w:p>
            <w:r>
              <w:rPr>
                <w:sz w:val="20"/>
                <w:szCs w:val="20"/>
              </w:rPr>
              <w:t xml:space="preserve">v3.2</w:t>
            </w:r>
          </w:p>
        </w:tc>
      </w:tr>
      <w:tr>
        <w:tc>
          <w:tcPr>
            <w:tcW w:type="dxa" w:w="2900"/>
            <w:shd w:fill="F4F5EF" w:val="clear"/>
          </w:tcPr>
          <w:p>
            <w:r>
              <w:rPr>
                <w:rFonts w:ascii="Consolas" w:cs="Consolas" w:eastAsia="Consolas" w:hAnsi="Consolas"/>
                <w:b/>
                <w:bCs/>
                <w:color w:val="4B5320"/>
                <w:sz w:val="18"/>
                <w:szCs w:val="18"/>
              </w:rPr>
              <w:t xml:space="preserve">EFFECTIVE DATE</w:t>
            </w:r>
          </w:p>
        </w:tc>
        <w:tc>
          <w:tcPr>
            <w:tcW w:type="dxa" w:w="6820"/>
          </w:tcPr>
          <w:p>
            <w:r>
              <w:rPr>
                <w:sz w:val="20"/>
                <w:szCs w:val="20"/>
              </w:rPr>
              <w:t xml:space="preserve">2026-05-30</w:t>
            </w:r>
          </w:p>
        </w:tc>
      </w:tr>
      <w:tr>
        <w:tc>
          <w:tcPr>
            <w:tcW w:type="dxa" w:w="2900"/>
            <w:shd w:fill="F4F5EF" w:val="clear"/>
          </w:tcPr>
          <w:p>
            <w:r>
              <w:rPr>
                <w:rFonts w:ascii="Consolas" w:cs="Consolas" w:eastAsia="Consolas" w:hAnsi="Consolas"/>
                <w:b/>
                <w:bCs/>
                <w:color w:val="4B5320"/>
                <w:sz w:val="18"/>
                <w:szCs w:val="18"/>
              </w:rPr>
              <w:t xml:space="preserve">MANDATED REVIEW DATE</w:t>
            </w:r>
          </w:p>
        </w:tc>
        <w:tc>
          <w:tcPr>
            <w:tcW w:type="dxa" w:w="6820"/>
          </w:tcPr>
          <w:p>
            <w:r>
              <w:rPr>
                <w:sz w:val="20"/>
                <w:szCs w:val="20"/>
              </w:rPr>
              <w:t xml:space="preserve">2026-11-30</w:t>
            </w:r>
          </w:p>
        </w:tc>
      </w:tr>
      <w:tr>
        <w:tc>
          <w:tcPr>
            <w:tcW w:type="dxa" w:w="2900"/>
            <w:shd w:fill="F4F5EF" w:val="clear"/>
          </w:tcPr>
          <w:p>
            <w:r>
              <w:rPr>
                <w:rFonts w:ascii="Consolas" w:cs="Consolas" w:eastAsia="Consolas" w:hAnsi="Consolas"/>
                <w:b/>
                <w:bCs/>
                <w:color w:val="4B5320"/>
                <w:sz w:val="18"/>
                <w:szCs w:val="18"/>
              </w:rPr>
              <w:t xml:space="preserve">APPLICABILITY</w:t>
            </w:r>
          </w:p>
        </w:tc>
        <w:tc>
          <w:tcPr>
            <w:tcW w:type="dxa" w:w="6820"/>
          </w:tcPr>
          <w:p>
            <w:r>
              <w:rPr>
                <w:sz w:val="20"/>
                <w:szCs w:val="20"/>
              </w:rPr>
              <w:t xml:space="preserve">All systems in the Army cyber portfolio under CCoE cognizance</w:t>
            </w:r>
          </w:p>
        </w:tc>
      </w:tr>
      <w:tr>
        <w:tc>
          <w:tcPr>
            <w:tcW w:type="dxa" w:w="2900"/>
            <w:shd w:fill="F4F5EF" w:val="clear"/>
          </w:tcPr>
          <w:p>
            <w:r>
              <w:rPr>
                <w:rFonts w:ascii="Consolas" w:cs="Consolas" w:eastAsia="Consolas" w:hAnsi="Consolas"/>
                <w:b/>
                <w:bCs/>
                <w:color w:val="4B5320"/>
                <w:sz w:val="18"/>
                <w:szCs w:val="18"/>
              </w:rPr>
              <w:t xml:space="preserve">APPROVAL AUTHORITY</w:t>
            </w:r>
          </w:p>
        </w:tc>
        <w:tc>
          <w:tcPr>
            <w:tcW w:type="dxa" w:w="6820"/>
          </w:tcPr>
          <w:p>
            <w:r>
              <w:rPr>
                <w:sz w:val="20"/>
                <w:szCs w:val="20"/>
              </w:rPr>
              <w:t xml:space="preserve">AODR</w:t>
            </w:r>
          </w:p>
        </w:tc>
      </w:tr>
      <w:tr>
        <w:tc>
          <w:tcPr>
            <w:tcW w:type="dxa" w:w="2900"/>
            <w:shd w:fill="F4F5EF" w:val="clear"/>
          </w:tcPr>
          <w:p>
            <w:r>
              <w:rPr>
                <w:rFonts w:ascii="Consolas" w:cs="Consolas" w:eastAsia="Consolas" w:hAnsi="Consolas"/>
                <w:b/>
                <w:bCs/>
                <w:color w:val="4B5320"/>
                <w:sz w:val="18"/>
                <w:szCs w:val="18"/>
              </w:rPr>
              <w:t xml:space="preserve">RELATED TEMPLATES</w:t>
            </w:r>
          </w:p>
        </w:tc>
        <w:tc>
          <w:tcPr>
            <w:tcW w:type="dxa" w:w="6820"/>
          </w:tcPr>
          <w:p>
            <w:r>
              <w:rPr>
                <w:sz w:val="20"/>
                <w:szCs w:val="20"/>
              </w:rPr>
              <w:t xml:space="preserve">Significant Change Request v3.2; Minor Change Memo v2.0</w:t>
            </w:r>
          </w:p>
        </w:tc>
      </w:tr>
      <w:tr>
        <w:tc>
          <w:tcPr>
            <w:tcW w:type="dxa" w:w="2900"/>
            <w:shd w:fill="F4F5EF" w:val="clear"/>
          </w:tcPr>
          <w:p>
            <w:r>
              <w:rPr>
                <w:rFonts w:ascii="Consolas" w:cs="Consolas" w:eastAsia="Consolas" w:hAnsi="Consolas"/>
                <w:b/>
                <w:bCs/>
                <w:color w:val="4B5320"/>
                <w:sz w:val="18"/>
                <w:szCs w:val="18"/>
              </w:rPr>
              <w:t xml:space="preserve">SUPERSEDED DOCUMENTS</w:t>
            </w:r>
          </w:p>
        </w:tc>
        <w:tc>
          <w:tcPr>
            <w:tcW w:type="dxa" w:w="6820"/>
          </w:tcPr>
          <w:p>
            <w:r>
              <w:rPr>
                <w:sz w:val="20"/>
                <w:szCs w:val="20"/>
              </w:rPr>
              <w:t xml:space="preserve">CM-RUB v3.1 (retired 30 JUN 2026)</w:t>
            </w:r>
          </w:p>
        </w:tc>
      </w:tr>
    </w:tbl>
    <w:p>
      <w:pPr>
        <w:spacing w:after="100"/>
      </w:pPr>
      <w:r>
        <w:rPr>
          <w:sz w:val="21"/>
          <w:szCs w:val="21"/>
        </w:rPr>
        <w:t xml:space="preserve"> </w:t>
      </w:r>
    </w:p>
    <w:p>
      <w:pPr>
        <w:pStyle w:val="Heading2"/>
        <w:spacing w:after="90" w:before="220"/>
      </w:pPr>
      <w:r>
        <w:rPr>
          <w:b/>
          <w:bCs/>
          <w:color w:val="1E211C"/>
          <w:sz w:val="24"/>
          <w:szCs w:val="24"/>
        </w:rPr>
        <w:t xml:space="preserve">1. Purpose</w:t>
      </w:r>
    </w:p>
    <w:p>
      <w:pPr>
        <w:spacing w:after="100"/>
      </w:pPr>
      <w:r>
        <w:rPr>
          <w:sz w:val="21"/>
          <w:szCs w:val="21"/>
        </w:rPr>
        <w:t xml:space="preserve">This rubric is the formal test that classifies every proposed change as SIGNIFICANT or MINOR, and prescribes the artifact and review path for each. It removes discretion from the classification step: apply the test, record the answers, follow the path.</w:t>
      </w:r>
    </w:p>
    <w:p>
      <w:pPr>
        <w:pStyle w:val="Heading2"/>
        <w:spacing w:after="90" w:before="220"/>
      </w:pPr>
      <w:r>
        <w:rPr>
          <w:b/>
          <w:bCs/>
          <w:color w:val="1E211C"/>
          <w:sz w:val="24"/>
          <w:szCs w:val="24"/>
        </w:rPr>
        <w:t xml:space="preserve">2. The Test</w:t>
      </w:r>
    </w:p>
    <w:p>
      <w:pPr>
        <w:spacing w:after="100"/>
      </w:pPr>
      <w:r>
        <w:rPr>
          <w:sz w:val="21"/>
          <w:szCs w:val="21"/>
        </w:rPr>
        <w:t xml:space="preserve">A change is SIGNIFICANT if the answer to any question below is yes. Otherwise it is MINOR.</w:t>
      </w:r>
    </w:p>
    <w:p>
      <w:pPr>
        <w:pStyle w:val="ListParagraph"/>
        <w:numPr>
          <w:ilvl w:val="0"/>
          <w:numId w:val="2"/>
        </w:numPr>
        <w:spacing w:after="55"/>
      </w:pPr>
      <w:r>
        <w:rPr>
          <w:sz w:val="21"/>
          <w:szCs w:val="21"/>
        </w:rPr>
        <w:t xml:space="preserve">Does the change alter the authorization boundary (components, segments, facilities, or hosting model)?</w:t>
      </w:r>
    </w:p>
    <w:p>
      <w:pPr>
        <w:pStyle w:val="ListParagraph"/>
        <w:numPr>
          <w:ilvl w:val="0"/>
          <w:numId w:val="2"/>
        </w:numPr>
        <w:spacing w:after="55"/>
      </w:pPr>
      <w:r>
        <w:rPr>
          <w:sz w:val="21"/>
          <w:szCs w:val="21"/>
        </w:rPr>
        <w:t xml:space="preserve">Does it add, remove, or reclassify data types processed, stored, or transmitted?</w:t>
      </w:r>
    </w:p>
    <w:p>
      <w:pPr>
        <w:pStyle w:val="ListParagraph"/>
        <w:numPr>
          <w:ilvl w:val="0"/>
          <w:numId w:val="2"/>
        </w:numPr>
        <w:spacing w:after="55"/>
      </w:pPr>
      <w:r>
        <w:rPr>
          <w:sz w:val="21"/>
          <w:szCs w:val="21"/>
        </w:rPr>
        <w:t xml:space="preserve">Does it create, remove, or materially alter external connectivity or an interconnection agreement?</w:t>
      </w:r>
    </w:p>
    <w:p>
      <w:pPr>
        <w:pStyle w:val="ListParagraph"/>
        <w:numPr>
          <w:ilvl w:val="0"/>
          <w:numId w:val="2"/>
        </w:numPr>
        <w:spacing w:after="55"/>
      </w:pPr>
      <w:r>
        <w:rPr>
          <w:sz w:val="21"/>
          <w:szCs w:val="21"/>
        </w:rPr>
        <w:t xml:space="preserve">Does it change the risk posture — new attack surface, weakened control implementation, or altered inheritance?</w:t>
      </w:r>
    </w:p>
    <w:p>
      <w:pPr>
        <w:pStyle w:val="ListParagraph"/>
        <w:numPr>
          <w:ilvl w:val="0"/>
          <w:numId w:val="2"/>
        </w:numPr>
        <w:spacing w:after="55"/>
      </w:pPr>
      <w:r>
        <w:rPr>
          <w:sz w:val="21"/>
          <w:szCs w:val="21"/>
        </w:rPr>
        <w:t xml:space="preserve">Does it replace or upgrade a security-relevant mechanism cited in an implementation statement?</w:t>
      </w:r>
    </w:p>
    <w:p>
      <w:pPr>
        <w:pStyle w:val="Heading2"/>
        <w:spacing w:after="90" w:before="220"/>
      </w:pPr>
      <w:r>
        <w:rPr>
          <w:b/>
          <w:bCs/>
          <w:color w:val="1E211C"/>
          <w:sz w:val="24"/>
          <w:szCs w:val="24"/>
        </w:rPr>
        <w:t xml:space="preserve">3. Paths</w:t>
      </w:r>
    </w:p>
    <w:p>
      <w:pPr>
        <w:pStyle w:val="ListParagraph"/>
        <w:numPr>
          <w:ilvl w:val="0"/>
          <w:numId w:val="3"/>
        </w:numPr>
        <w:spacing w:after="55"/>
      </w:pPr>
      <w:r>
        <w:rPr>
          <w:b/>
          <w:bCs/>
          <w:sz w:val="21"/>
          <w:szCs w:val="21"/>
        </w:rPr>
        <w:t xml:space="preserve">SIGNIFICANT → </w:t>
      </w:r>
      <w:r>
        <w:rPr>
          <w:sz w:val="21"/>
          <w:szCs w:val="21"/>
        </w:rPr>
        <w:t xml:space="preserve">Significant Change Request v3.2 with Security Impact Analysis, CGB adjudication, and AO/AODR decision before implementation. Reassessment scope set by the SIA.</w:t>
      </w:r>
    </w:p>
    <w:p>
      <w:pPr>
        <w:pStyle w:val="ListParagraph"/>
        <w:numPr>
          <w:ilvl w:val="0"/>
          <w:numId w:val="3"/>
        </w:numPr>
        <w:spacing w:after="55"/>
      </w:pPr>
      <w:r>
        <w:rPr>
          <w:b/>
          <w:bCs/>
          <w:sz w:val="21"/>
          <w:szCs w:val="21"/>
        </w:rPr>
        <w:t xml:space="preserve">MINOR → </w:t>
      </w:r>
      <w:r>
        <w:rPr>
          <w:sz w:val="21"/>
          <w:szCs w:val="21"/>
        </w:rPr>
        <w:t xml:space="preserve">Minor Change Memo v2.0 filed before the change window, with rollback plan and ISSO acknowledgment. No CGB required.</w:t>
      </w:r>
    </w:p>
    <w:p>
      <w:pPr>
        <w:pStyle w:val="Heading2"/>
        <w:spacing w:after="90" w:before="220"/>
      </w:pPr>
      <w:r>
        <w:rPr>
          <w:b/>
          <w:bCs/>
          <w:color w:val="1E211C"/>
          <w:sz w:val="24"/>
          <w:szCs w:val="24"/>
        </w:rPr>
        <w:t xml:space="preserve">4. Worked Adjudications</w:t>
      </w:r>
    </w:p>
    <w:p>
      <w:pPr>
        <w:pStyle w:val="ListParagraph"/>
        <w:numPr>
          <w:ilvl w:val="0"/>
          <w:numId w:val="3"/>
        </w:numPr>
        <w:spacing w:after="55"/>
      </w:pPr>
      <w:r>
        <w:rPr>
          <w:sz w:val="21"/>
          <w:szCs w:val="21"/>
        </w:rPr>
        <w:t xml:space="preserve">Adding a DR region to a cloud system — SIGNIFICANT (boundary + inheritance). See SCR-2026-041.</w:t>
      </w:r>
    </w:p>
    <w:p>
      <w:pPr>
        <w:pStyle w:val="ListParagraph"/>
        <w:numPr>
          <w:ilvl w:val="0"/>
          <w:numId w:val="3"/>
        </w:numPr>
        <w:spacing w:after="55"/>
      </w:pPr>
      <w:r>
        <w:rPr>
          <w:sz w:val="21"/>
          <w:szCs w:val="21"/>
        </w:rPr>
        <w:t xml:space="preserve">Disabling TLS 1.0 on an internal service within the approved SC-8 implementation — MINOR (MCM-2026-118).</w:t>
      </w:r>
    </w:p>
    <w:p>
      <w:pPr>
        <w:pStyle w:val="ListParagraph"/>
        <w:numPr>
          <w:ilvl w:val="0"/>
          <w:numId w:val="3"/>
        </w:numPr>
        <w:spacing w:after="55"/>
      </w:pPr>
      <w:r>
        <w:rPr>
          <w:sz w:val="21"/>
          <w:szCs w:val="21"/>
        </w:rPr>
        <w:t xml:space="preserve">OS patching within the approved baseline and patch SOP — MINOR; no memo required when executed under the standing patch process.</w:t>
      </w:r>
    </w:p>
    <w:p>
      <w:pPr>
        <w:pStyle w:val="ListParagraph"/>
        <w:numPr>
          <w:ilvl w:val="0"/>
          <w:numId w:val="3"/>
        </w:numPr>
        <w:spacing w:after="55"/>
      </w:pPr>
      <w:r>
        <w:rPr>
          <w:sz w:val="21"/>
          <w:szCs w:val="21"/>
        </w:rPr>
        <w:t xml:space="preserve">New removable-media workflow on a closed network — SIGNIFICANT (risk posture + media control assumptions).</w:t>
      </w:r>
    </w:p>
    <w:p>
      <w:pPr>
        <w:pStyle w:val="Heading2"/>
        <w:spacing w:after="90" w:before="220"/>
      </w:pPr>
      <w:r>
        <w:rPr>
          <w:b/>
          <w:bCs/>
          <w:color w:val="1E211C"/>
          <w:sz w:val="24"/>
          <w:szCs w:val="24"/>
        </w:rPr>
        <w:t xml:space="preserve">5. Timing Rules</w:t>
      </w:r>
    </w:p>
    <w:p>
      <w:pPr>
        <w:pStyle w:val="ListParagraph"/>
        <w:numPr>
          <w:ilvl w:val="0"/>
          <w:numId w:val="3"/>
        </w:numPr>
        <w:spacing w:after="55"/>
      </w:pPr>
      <w:r>
        <w:rPr>
          <w:sz w:val="21"/>
          <w:szCs w:val="21"/>
        </w:rPr>
        <w:t xml:space="preserve">No significant change is implemented before the AO/AODR decision is recorded — emergency security patches excepted under the KEV emergency path, with the SCR filed within 5 business days after action.</w:t>
      </w:r>
    </w:p>
    <w:p>
      <w:pPr>
        <w:pStyle w:val="ListParagraph"/>
        <w:numPr>
          <w:ilvl w:val="0"/>
          <w:numId w:val="3"/>
        </w:numPr>
        <w:spacing w:after="55"/>
      </w:pPr>
      <w:r>
        <w:rPr>
          <w:sz w:val="21"/>
          <w:szCs w:val="21"/>
        </w:rPr>
        <w:t xml:space="preserve">CGB adjudicates within 10 business days of a complete SCR; incomplete SCRs return with deficiencies named.</w:t>
      </w:r>
    </w:p>
    <w:p>
      <w:pPr>
        <w:pStyle w:val="Heading2"/>
        <w:spacing w:after="90" w:before="220"/>
      </w:pPr>
      <w:r>
        <w:rPr>
          <w:b/>
          <w:bCs/>
          <w:color w:val="1E211C"/>
          <w:sz w:val="24"/>
          <w:szCs w:val="24"/>
        </w:rPr>
        <w:t xml:space="preserve">6. Enforcement</w:t>
      </w:r>
    </w:p>
    <w:p>
      <w:pPr>
        <w:spacing w:after="100"/>
      </w:pPr>
      <w:r>
        <w:rPr>
          <w:sz w:val="21"/>
          <w:szCs w:val="21"/>
        </w:rPr>
        <w:t xml:space="preserve">Changes discovered outside this rubric are treated as unauthorized changes: the ISSM opens a POA&amp;M entry, and the item is briefed at the next CISO portfolio review with the owning program named.</w:t>
      </w:r>
    </w:p>
    <w:p>
      <w:pPr>
        <w:pStyle w:val="Heading2"/>
        <w:spacing w:after="90" w:before="220"/>
      </w:pPr>
      <w:r>
        <w:rPr>
          <w:b/>
          <w:bCs/>
          <w:color w:val="1E211C"/>
          <w:sz w:val="24"/>
          <w:szCs w:val="24"/>
        </w:rPr>
        <w:t xml:space="preserve">Revision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shd w:fill="F4F5EF" w:val="clear"/>
          </w:tcPr>
          <w:p>
            <w:r>
              <w:rPr>
                <w:b/>
                <w:bCs/>
                <w:sz w:val="19"/>
                <w:szCs w:val="19"/>
              </w:rPr>
              <w:t xml:space="preserve">v3.2 — 2026-05-30</w:t>
            </w:r>
          </w:p>
        </w:tc>
        <w:tc>
          <w:tcPr>
            <w:tcW w:type="dxa" w:w="7520"/>
          </w:tcPr>
          <w:p>
            <w:r>
              <w:rPr>
                <w:sz w:val="20"/>
                <w:szCs w:val="20"/>
              </w:rPr>
              <w:t xml:space="preserve">Question 5 added (security-relevant mechanism replacement); emergency KEV path clarified. v3.1 accepted through 30 JUN 2026 only.</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2026-07-02T12:38:41.389Z</dcterms:created>
  <dcterms:modified xsi:type="dcterms:W3CDTF">2026-07-02T12:38:41.389Z</dcterms:modified>
</cp:coreProperties>
</file>

<file path=docProps/custom.xml><?xml version="1.0" encoding="utf-8"?>
<Properties xmlns="http://schemas.openxmlformats.org/officeDocument/2006/custom-properties" xmlns:vt="http://schemas.openxmlformats.org/officeDocument/2006/docPropsVTypes"/>
</file>