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DEFE6" w:val="clear"/>
        <w:spacing w:after="160"/>
        <w:jc w:val="center"/>
      </w:pPr>
      <w:r>
        <w:rPr>
          <w:rFonts w:ascii="Consolas" w:cs="Consolas" w:eastAsia="Consolas" w:hAnsi="Consolas"/>
          <w:b/>
          <w:bCs/>
          <w:color w:val="4B5320"/>
          <w:sz w:val="16"/>
          <w:szCs w:val="16"/>
        </w:rPr>
        <w:t xml:space="preserve">UNCLASSIFIED // DEMONSTRATION DOCUMENT — NO CUI OR CLASSIFIED DATA</w:t>
      </w:r>
    </w:p>
    <w:p>
      <w:pPr>
        <w:pStyle w:val="Heading1"/>
        <w:spacing w:after="60"/>
      </w:pPr>
      <w:r>
        <w:rPr>
          <w:b/>
          <w:bCs/>
          <w:color w:val="4B5320"/>
          <w:sz w:val="32"/>
          <w:szCs w:val="32"/>
        </w:rPr>
        <w:t xml:space="preserve">Closed Network Audit Standard</w:t>
      </w:r>
    </w:p>
    <w:p>
      <w:pPr>
        <w:spacing w:after="140"/>
      </w:pPr>
      <w:r>
        <w:rPr>
          <w:rFonts w:ascii="Consolas" w:cs="Consolas" w:eastAsia="Consolas" w:hAnsi="Consolas"/>
          <w:color w:val="5A6157"/>
          <w:sz w:val="18"/>
          <w:szCs w:val="18"/>
        </w:rPr>
        <w:t xml:space="preserve">CCOE-STD-CN-007 · v1.5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6820"/>
      </w:tblGrid>
      <w:tr>
        <w:tc>
          <w:tcPr>
            <w:tcW w:type="dxa" w:w="2900"/>
            <w:shd w:fill="F4F5EF" w:val="clear"/>
          </w:tcPr>
          <w:p>
            <w:r>
              <w:rPr>
                <w:rFonts w:ascii="Consolas" w:cs="Consolas" w:eastAsia="Consolas" w:hAnsi="Consolas"/>
                <w:b/>
                <w:bCs/>
                <w:color w:val="4B5320"/>
                <w:sz w:val="18"/>
                <w:szCs w:val="18"/>
              </w:rPr>
              <w:t xml:space="preserve">OWNER</w:t>
            </w:r>
          </w:p>
        </w:tc>
        <w:tc>
          <w:tcPr>
            <w:tcW w:type="dxa" w:w="6820"/>
          </w:tcPr>
          <w:p>
            <w:r>
              <w:rPr>
                <w:sz w:val="20"/>
                <w:szCs w:val="20"/>
              </w:rPr>
              <w:t xml:space="preserve">Ops Branch — CCoE</w:t>
            </w:r>
          </w:p>
        </w:tc>
      </w:tr>
      <w:tr>
        <w:tc>
          <w:tcPr>
            <w:tcW w:type="dxa" w:w="2900"/>
            <w:shd w:fill="F4F5EF" w:val="clear"/>
          </w:tcPr>
          <w:p>
            <w:r>
              <w:rPr>
                <w:rFonts w:ascii="Consolas" w:cs="Consolas" w:eastAsia="Consolas" w:hAnsi="Consolas"/>
                <w:b/>
                <w:bCs/>
                <w:color w:val="4B5320"/>
                <w:sz w:val="18"/>
                <w:szCs w:val="18"/>
              </w:rPr>
              <w:t xml:space="preserve">CURRENT VERSION</w:t>
            </w:r>
          </w:p>
        </w:tc>
        <w:tc>
          <w:tcPr>
            <w:tcW w:type="dxa" w:w="6820"/>
          </w:tcPr>
          <w:p>
            <w:r>
              <w:rPr>
                <w:sz w:val="20"/>
                <w:szCs w:val="20"/>
              </w:rPr>
              <w:t xml:space="preserve">v1.5</w:t>
            </w:r>
          </w:p>
        </w:tc>
      </w:tr>
      <w:tr>
        <w:tc>
          <w:tcPr>
            <w:tcW w:type="dxa" w:w="2900"/>
            <w:shd w:fill="F4F5EF" w:val="clear"/>
          </w:tcPr>
          <w:p>
            <w:r>
              <w:rPr>
                <w:rFonts w:ascii="Consolas" w:cs="Consolas" w:eastAsia="Consolas" w:hAnsi="Consolas"/>
                <w:b/>
                <w:bCs/>
                <w:color w:val="4B5320"/>
                <w:sz w:val="18"/>
                <w:szCs w:val="18"/>
              </w:rPr>
              <w:t xml:space="preserve">EFFECTIVE DATE</w:t>
            </w:r>
          </w:p>
        </w:tc>
        <w:tc>
          <w:tcPr>
            <w:tcW w:type="dxa" w:w="6820"/>
          </w:tcPr>
          <w:p>
            <w:r>
              <w:rPr>
                <w:sz w:val="20"/>
                <w:szCs w:val="20"/>
              </w:rPr>
              <w:t xml:space="preserve">2026-01-30</w:t>
            </w:r>
          </w:p>
        </w:tc>
      </w:tr>
      <w:tr>
        <w:tc>
          <w:tcPr>
            <w:tcW w:type="dxa" w:w="2900"/>
            <w:shd w:fill="F4F5EF" w:val="clear"/>
          </w:tcPr>
          <w:p>
            <w:r>
              <w:rPr>
                <w:rFonts w:ascii="Consolas" w:cs="Consolas" w:eastAsia="Consolas" w:hAnsi="Consolas"/>
                <w:b/>
                <w:bCs/>
                <w:color w:val="4B5320"/>
                <w:sz w:val="18"/>
                <w:szCs w:val="18"/>
              </w:rPr>
              <w:t xml:space="preserve">MANDATED REVIEW DATE</w:t>
            </w:r>
          </w:p>
        </w:tc>
        <w:tc>
          <w:tcPr>
            <w:tcW w:type="dxa" w:w="6820"/>
          </w:tcPr>
          <w:p>
            <w:r>
              <w:rPr>
                <w:sz w:val="20"/>
                <w:szCs w:val="20"/>
              </w:rPr>
              <w:t xml:space="preserve">2026-07-30</w:t>
            </w:r>
          </w:p>
        </w:tc>
      </w:tr>
      <w:tr>
        <w:tc>
          <w:tcPr>
            <w:tcW w:type="dxa" w:w="2900"/>
            <w:shd w:fill="F4F5EF" w:val="clear"/>
          </w:tcPr>
          <w:p>
            <w:r>
              <w:rPr>
                <w:rFonts w:ascii="Consolas" w:cs="Consolas" w:eastAsia="Consolas" w:hAnsi="Consolas"/>
                <w:b/>
                <w:bCs/>
                <w:color w:val="4B5320"/>
                <w:sz w:val="18"/>
                <w:szCs w:val="18"/>
              </w:rPr>
              <w:t xml:space="preserve">APPLICABILITY</w:t>
            </w:r>
          </w:p>
        </w:tc>
        <w:tc>
          <w:tcPr>
            <w:tcW w:type="dxa" w:w="6820"/>
          </w:tcPr>
          <w:p>
            <w:r>
              <w:rPr>
                <w:sz w:val="20"/>
                <w:szCs w:val="20"/>
              </w:rPr>
              <w:t xml:space="preserve">Closed-restricted networks (e.g., RANGE-OT) under CCoE cognizance</w:t>
            </w:r>
          </w:p>
        </w:tc>
      </w:tr>
      <w:tr>
        <w:tc>
          <w:tcPr>
            <w:tcW w:type="dxa" w:w="2900"/>
            <w:shd w:fill="F4F5EF" w:val="clear"/>
          </w:tcPr>
          <w:p>
            <w:r>
              <w:rPr>
                <w:rFonts w:ascii="Consolas" w:cs="Consolas" w:eastAsia="Consolas" w:hAnsi="Consolas"/>
                <w:b/>
                <w:bCs/>
                <w:color w:val="4B5320"/>
                <w:sz w:val="18"/>
                <w:szCs w:val="18"/>
              </w:rPr>
              <w:t xml:space="preserve">APPROVAL AUTHORITY</w:t>
            </w:r>
          </w:p>
        </w:tc>
        <w:tc>
          <w:tcPr>
            <w:tcW w:type="dxa" w:w="6820"/>
          </w:tcPr>
          <w:p>
            <w:r>
              <w:rPr>
                <w:sz w:val="20"/>
                <w:szCs w:val="20"/>
              </w:rPr>
              <w:t xml:space="preserve">CISO</w:t>
            </w:r>
          </w:p>
        </w:tc>
      </w:tr>
      <w:tr>
        <w:tc>
          <w:tcPr>
            <w:tcW w:type="dxa" w:w="2900"/>
            <w:shd w:fill="F4F5EF" w:val="clear"/>
          </w:tcPr>
          <w:p>
            <w:r>
              <w:rPr>
                <w:rFonts w:ascii="Consolas" w:cs="Consolas" w:eastAsia="Consolas" w:hAnsi="Consolas"/>
                <w:b/>
                <w:bCs/>
                <w:color w:val="4B5320"/>
                <w:sz w:val="18"/>
                <w:szCs w:val="18"/>
              </w:rPr>
              <w:t xml:space="preserve">RELATED TEMPLATES</w:t>
            </w:r>
          </w:p>
        </w:tc>
        <w:tc>
          <w:tcPr>
            <w:tcW w:type="dxa" w:w="6820"/>
          </w:tcPr>
          <w:p>
            <w:r>
              <w:rPr>
                <w:sz w:val="20"/>
                <w:szCs w:val="20"/>
              </w:rPr>
              <w:t xml:space="preserve">Standalone System Boundaries SOP v1.8; OT/XR/AR/VR Framework v1.3</w:t>
            </w:r>
          </w:p>
        </w:tc>
      </w:tr>
      <w:tr>
        <w:tc>
          <w:tcPr>
            <w:tcW w:type="dxa" w:w="2900"/>
            <w:shd w:fill="F4F5EF" w:val="clear"/>
          </w:tcPr>
          <w:p>
            <w:r>
              <w:rPr>
                <w:rFonts w:ascii="Consolas" w:cs="Consolas" w:eastAsia="Consolas" w:hAnsi="Consolas"/>
                <w:b/>
                <w:bCs/>
                <w:color w:val="4B5320"/>
                <w:sz w:val="18"/>
                <w:szCs w:val="18"/>
              </w:rPr>
              <w:t xml:space="preserve">SUPERSEDED DOCUMENTS</w:t>
            </w:r>
          </w:p>
        </w:tc>
        <w:tc>
          <w:tcPr>
            <w:tcW w:type="dxa" w:w="6820"/>
          </w:tcPr>
          <w:p>
            <w:r>
              <w:rPr>
                <w:sz w:val="20"/>
                <w:szCs w:val="20"/>
              </w:rPr>
              <w:t xml:space="preserve">CN Audit Standard v1.4</w:t>
            </w:r>
          </w:p>
        </w:tc>
      </w:tr>
    </w:tbl>
    <w:p>
      <w:pPr>
        <w:spacing w:after="100"/>
      </w:pPr>
      <w:r>
        <w:rPr>
          <w:sz w:val="21"/>
          <w:szCs w:val="21"/>
        </w:rPr>
        <w:t xml:space="preserve"> </w:t>
      </w:r>
    </w:p>
    <w:p>
      <w:pPr>
        <w:pStyle w:val="Heading2"/>
        <w:spacing w:after="90" w:before="220"/>
      </w:pPr>
      <w:r>
        <w:rPr>
          <w:b/>
          <w:bCs/>
          <w:color w:val="1E211C"/>
          <w:sz w:val="24"/>
          <w:szCs w:val="24"/>
        </w:rPr>
        <w:t xml:space="preserve">1. Purpose</w:t>
      </w:r>
    </w:p>
    <w:p>
      <w:pPr>
        <w:spacing w:after="100"/>
      </w:pPr>
      <w:r>
        <w:rPr>
          <w:sz w:val="21"/>
          <w:szCs w:val="21"/>
        </w:rPr>
        <w:t xml:space="preserve">Defines the annual audit required to sustain a closed-network authorization: what is checked, who checks it, and what evidence the audit produces.</w:t>
      </w:r>
    </w:p>
    <w:p>
      <w:pPr>
        <w:pStyle w:val="Heading2"/>
        <w:spacing w:after="90" w:before="220"/>
      </w:pPr>
      <w:r>
        <w:rPr>
          <w:b/>
          <w:bCs/>
          <w:color w:val="1E211C"/>
          <w:sz w:val="24"/>
          <w:szCs w:val="24"/>
        </w:rPr>
        <w:t xml:space="preserve">2. Audit Scope — Required Elements</w:t>
      </w:r>
    </w:p>
    <w:p>
      <w:pPr>
        <w:pStyle w:val="ListParagraph"/>
        <w:numPr>
          <w:ilvl w:val="0"/>
          <w:numId w:val="2"/>
        </w:numPr>
        <w:spacing w:after="55"/>
      </w:pPr>
      <w:r>
        <w:rPr>
          <w:b/>
          <w:bCs/>
          <w:sz w:val="21"/>
          <w:szCs w:val="21"/>
        </w:rPr>
        <w:t xml:space="preserve">Controlled interfaces. </w:t>
      </w:r>
      <w:r>
        <w:rPr>
          <w:sz w:val="21"/>
          <w:szCs w:val="21"/>
        </w:rPr>
        <w:t xml:space="preserve">Verify that every physical and logical interface matches the approved boundary diagram; any undocumented interface is an audit failure and an unauthorized change.</w:t>
      </w:r>
    </w:p>
    <w:p>
      <w:pPr>
        <w:pStyle w:val="ListParagraph"/>
        <w:numPr>
          <w:ilvl w:val="0"/>
          <w:numId w:val="2"/>
        </w:numPr>
        <w:spacing w:after="55"/>
      </w:pPr>
      <w:r>
        <w:rPr>
          <w:b/>
          <w:bCs/>
          <w:sz w:val="21"/>
          <w:szCs w:val="21"/>
        </w:rPr>
        <w:t xml:space="preserve">Membership review. </w:t>
      </w:r>
      <w:r>
        <w:rPr>
          <w:sz w:val="21"/>
          <w:szCs w:val="21"/>
        </w:rPr>
        <w:t xml:space="preserve">Reconcile the authorized-user and administrator lists against current duty assignments; disable-and-remove any account without a current justification.</w:t>
      </w:r>
    </w:p>
    <w:p>
      <w:pPr>
        <w:pStyle w:val="ListParagraph"/>
        <w:numPr>
          <w:ilvl w:val="0"/>
          <w:numId w:val="2"/>
        </w:numPr>
        <w:spacing w:after="55"/>
      </w:pPr>
      <w:r>
        <w:rPr>
          <w:b/>
          <w:bCs/>
          <w:sz w:val="21"/>
          <w:szCs w:val="21"/>
        </w:rPr>
        <w:t xml:space="preserve">Media movement logs. </w:t>
      </w:r>
      <w:r>
        <w:rPr>
          <w:sz w:val="21"/>
          <w:szCs w:val="21"/>
        </w:rPr>
        <w:t xml:space="preserve">Sample 100% of transfer logs for the audit year against the media inventory; unlogged media presence is an audit failure.</w:t>
      </w:r>
    </w:p>
    <w:p>
      <w:pPr>
        <w:pStyle w:val="ListParagraph"/>
        <w:numPr>
          <w:ilvl w:val="0"/>
          <w:numId w:val="2"/>
        </w:numPr>
        <w:spacing w:after="55"/>
      </w:pPr>
      <w:r>
        <w:rPr>
          <w:b/>
          <w:bCs/>
          <w:sz w:val="21"/>
          <w:szCs w:val="21"/>
        </w:rPr>
        <w:t xml:space="preserve">Cross-domain touchpoints. </w:t>
      </w:r>
      <w:r>
        <w:rPr>
          <w:sz w:val="21"/>
          <w:szCs w:val="21"/>
        </w:rPr>
        <w:t xml:space="preserve">Validate that any approved cross-domain workflow still matches its approval — device, direction, data types, and review steps.</w:t>
      </w:r>
    </w:p>
    <w:p>
      <w:pPr>
        <w:pStyle w:val="ListParagraph"/>
        <w:numPr>
          <w:ilvl w:val="0"/>
          <w:numId w:val="2"/>
        </w:numPr>
        <w:spacing w:after="55"/>
      </w:pPr>
      <w:r>
        <w:rPr>
          <w:b/>
          <w:bCs/>
          <w:sz w:val="21"/>
          <w:szCs w:val="21"/>
        </w:rPr>
        <w:t xml:space="preserve">Configuration drift. </w:t>
      </w:r>
      <w:r>
        <w:rPr>
          <w:sz w:val="21"/>
          <w:szCs w:val="21"/>
        </w:rPr>
        <w:t xml:space="preserve">Compare current configurations against the approved baseline; drift is recorded as findings with POA&amp;M entries.</w:t>
      </w:r>
    </w:p>
    <w:p>
      <w:pPr>
        <w:pStyle w:val="Heading2"/>
        <w:spacing w:after="90" w:before="220"/>
      </w:pPr>
      <w:r>
        <w:rPr>
          <w:b/>
          <w:bCs/>
          <w:color w:val="1E211C"/>
          <w:sz w:val="24"/>
          <w:szCs w:val="24"/>
        </w:rPr>
        <w:t xml:space="preserve">3. Conduct</w:t>
      </w:r>
    </w:p>
    <w:p>
      <w:pPr>
        <w:pStyle w:val="ListParagraph"/>
        <w:numPr>
          <w:ilvl w:val="0"/>
          <w:numId w:val="2"/>
        </w:numPr>
        <w:spacing w:after="55"/>
      </w:pPr>
      <w:r>
        <w:rPr>
          <w:sz w:val="21"/>
          <w:szCs w:val="21"/>
        </w:rPr>
        <w:t xml:space="preserve">The audit team is independent of the operating team; the ISSO supports but does not self-audit.</w:t>
      </w:r>
    </w:p>
    <w:p>
      <w:pPr>
        <w:pStyle w:val="ListParagraph"/>
        <w:numPr>
          <w:ilvl w:val="0"/>
          <w:numId w:val="2"/>
        </w:numPr>
        <w:spacing w:after="55"/>
      </w:pPr>
      <w:r>
        <w:rPr>
          <w:sz w:val="21"/>
          <w:szCs w:val="21"/>
        </w:rPr>
        <w:t xml:space="preserve">Audit window is scheduled on the Assessment Calendar; results are due 15 business days after fieldwork.</w:t>
      </w:r>
    </w:p>
    <w:p>
      <w:pPr>
        <w:pStyle w:val="ListParagraph"/>
        <w:numPr>
          <w:ilvl w:val="0"/>
          <w:numId w:val="2"/>
        </w:numPr>
        <w:spacing w:after="55"/>
      </w:pPr>
      <w:r>
        <w:rPr>
          <w:sz w:val="21"/>
          <w:szCs w:val="21"/>
        </w:rPr>
        <w:t xml:space="preserve">Findings enter the POA&amp;M with severities per the Vulnerability Management Windows policy.</w:t>
      </w:r>
    </w:p>
    <w:p>
      <w:pPr>
        <w:pStyle w:val="Heading2"/>
        <w:spacing w:after="90" w:before="220"/>
      </w:pPr>
      <w:r>
        <w:rPr>
          <w:b/>
          <w:bCs/>
          <w:color w:val="1E211C"/>
          <w:sz w:val="24"/>
          <w:szCs w:val="24"/>
        </w:rPr>
        <w:t xml:space="preserve">4. Outputs</w:t>
      </w:r>
    </w:p>
    <w:p>
      <w:pPr>
        <w:spacing w:after="100"/>
      </w:pPr>
      <w:r>
        <w:rPr>
          <w:sz w:val="21"/>
          <w:szCs w:val="21"/>
        </w:rPr>
        <w:t xml:space="preserve">The audit produces: a signed audit report, the reconciled membership list, the media log sample results, an updated (validated) boundary diagram date, and the drift findings list. All five outputs are required for the authorization to remain in good standing.</w:t>
      </w:r>
    </w:p>
    <w:p>
      <w:pPr>
        <w:pStyle w:val="Heading2"/>
        <w:spacing w:after="90" w:before="220"/>
      </w:pPr>
      <w:r>
        <w:rPr>
          <w:b/>
          <w:bCs/>
          <w:color w:val="1E211C"/>
          <w:sz w:val="24"/>
          <w:szCs w:val="24"/>
        </w:rPr>
        <w:t xml:space="preserve">5. Failure Handling</w:t>
      </w:r>
    </w:p>
    <w:p>
      <w:pPr>
        <w:spacing w:after="100"/>
      </w:pPr>
      <w:r>
        <w:rPr>
          <w:sz w:val="21"/>
          <w:szCs w:val="21"/>
        </w:rPr>
        <w:t xml:space="preserve">An audit failure in controlled interfaces or media logs triggers immediate ISSM notification and a 30-day corrective window; failure to correct escalates to the AO with a recommendation to suspend the closed-network pathway.</w:t>
      </w:r>
    </w:p>
    <w:p>
      <w:pPr>
        <w:pStyle w:val="Heading2"/>
        <w:spacing w:after="90" w:before="220"/>
      </w:pPr>
      <w:r>
        <w:rPr>
          <w:b/>
          <w:bCs/>
          <w:color w:val="1E211C"/>
          <w:sz w:val="24"/>
          <w:szCs w:val="24"/>
        </w:rPr>
        <w:t xml:space="preserve">Revision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shd w:fill="F4F5EF" w:val="clear"/>
          </w:tcPr>
          <w:p>
            <w:r>
              <w:rPr>
                <w:b/>
                <w:bCs/>
                <w:sz w:val="19"/>
                <w:szCs w:val="19"/>
              </w:rPr>
              <w:t xml:space="preserve">v1.5 — 2026-01-30</w:t>
            </w:r>
          </w:p>
        </w:tc>
        <w:tc>
          <w:tcPr>
            <w:tcW w:type="dxa" w:w="7520"/>
          </w:tcPr>
          <w:p>
            <w:r>
              <w:rPr>
                <w:sz w:val="20"/>
                <w:szCs w:val="20"/>
              </w:rPr>
              <w:t xml:space="preserve">100% media-log sampling made explicit (was 25%); output list consolidated to five items.</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2026-07-02T12:38:41.574Z</dcterms:created>
  <dcterms:modified xsi:type="dcterms:W3CDTF">2026-07-02T12:38:41.574Z</dcterms:modified>
</cp:coreProperties>
</file>

<file path=docProps/custom.xml><?xml version="1.0" encoding="utf-8"?>
<Properties xmlns="http://schemas.openxmlformats.org/officeDocument/2006/custom-properties" xmlns:vt="http://schemas.openxmlformats.org/officeDocument/2006/docPropsVTypes"/>
</file>