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RMF Execution Policy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CCOE-POL-RMF-001 · v4.0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RMF Branch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v4.0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2026-04-01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2026-10-01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SSP Standard Language Blocks v4.2; AO Package Routing Checklist v2.9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RMF-POL v3.x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This policy establishes the portfolio-wide rules for executing all seven steps of the Risk Management Framework (Prepare, Categorize, Select, Implement, Assess, Authorize, Monitor). It is the parent document for the RMF Operations Hub; where hub content and this policy conflict, this policy governs.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Policy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Pathway selection. </w:t>
      </w:r>
      <w:r>
        <w:rPr>
          <w:sz w:val="21"/>
          <w:szCs w:val="21"/>
        </w:rPr>
        <w:t xml:space="preserve">Every system enters exactly one authorization pathway — Full ATO, Conditional ATO, Agile/Ongoing ATO, IATT, ATC, Reciprocity, or Closed Network — selected at Prepare using the criteria in Section 4. Pathway changes after Categorize require ISSM concurrence and AODR notification.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Categorization. </w:t>
      </w:r>
      <w:r>
        <w:rPr>
          <w:sz w:val="21"/>
          <w:szCs w:val="21"/>
        </w:rPr>
        <w:t xml:space="preserve">FIPS 199 categorization uses the System Categorization Worksheet v2.6 with information types drawn from NIST SP 800-60. The overall categorization is the high-water mark; deviations require documented AO approval.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Control selection. </w:t>
      </w:r>
      <w:r>
        <w:rPr>
          <w:sz w:val="21"/>
          <w:szCs w:val="21"/>
        </w:rPr>
        <w:t xml:space="preserve">Baselines derive from the categorization plus applicable overlays (cloud, OT, privacy). Tailoring decisions are recorded with rationale in the SSP; silent tailoring is prohibited.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Implementation statements. </w:t>
      </w:r>
      <w:r>
        <w:rPr>
          <w:sz w:val="21"/>
          <w:szCs w:val="21"/>
        </w:rPr>
        <w:t xml:space="preserve">All statements follow the Control Implementation Statement Frames v3.0: present tense, named mechanism, named role, stated frequency, and evidence location. Future-tense narratives are rejected at quality gate.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Assessment. </w:t>
      </w:r>
      <w:r>
        <w:rPr>
          <w:sz w:val="21"/>
          <w:szCs w:val="21"/>
        </w:rPr>
        <w:t xml:space="preserve">Assessments are scheduled through the Assessment Calendar. A Test Readiness Review using the Assessment Readiness Package v2.2 is mandatory before any SCA fieldwork begins.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Authorization. </w:t>
      </w:r>
      <w:r>
        <w:rPr>
          <w:sz w:val="21"/>
          <w:szCs w:val="21"/>
        </w:rPr>
        <w:t xml:space="preserve">Decision packages route per the AO Package Routing Checklist v2.9. The AO decision briefing uses the quad-chart format v5.1 and states mission risk, not scanner output.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Monitoring. </w:t>
      </w:r>
      <w:r>
        <w:rPr>
          <w:sz w:val="21"/>
          <w:szCs w:val="21"/>
        </w:rPr>
        <w:t xml:space="preserve">Post-authorization, systems operate under the Continuous Monitoring Parameters v2.7. Authorization conditions transcribe into the POA&amp;M within 3 business days of decision.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Quality Gates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Gate 1 — Categorization review (RMF Branch): worksheet completeness and rationale quality.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Gate 2 — Pre-assessment ISSM review: rubric score ≥ 90% on package completeness.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Gate 3 — Post-assessment reconciliation: SAR findings mapped to POA&amp;M and RAW with zero orphans.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Pathway Selection Criteria (summary)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Full ATO — default pathway for enduring systems with standard connectivity.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Conditional ATO — material findings exist with funded, dated remediation milestones the AO elects to track as conditions.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Agile/Ongoing ATO — mature DevSecOps pipeline with automated evidence generation validated by the SCA.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IATT — testing in a representative environment only; never for operational data.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Reciprocity — external BoE accepted per the Reciprocity Acceptance Policy v1.7.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Closed Network — physically isolated systems audited under the Closed Network Audit Standard v1.5.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Roles and Responsibilities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AO / AODR: </w:t>
      </w:r>
      <w:r>
        <w:rPr>
          <w:sz w:val="21"/>
          <w:szCs w:val="21"/>
        </w:rPr>
        <w:t xml:space="preserve">own authorization decisions and condition enforcement.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ISSM: </w:t>
      </w:r>
      <w:r>
        <w:rPr>
          <w:sz w:val="21"/>
          <w:szCs w:val="21"/>
        </w:rPr>
        <w:t xml:space="preserve">owns package quality; may return any package failing a gate without further routing.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ISSO: </w:t>
      </w:r>
      <w:r>
        <w:rPr>
          <w:sz w:val="21"/>
          <w:szCs w:val="21"/>
        </w:rPr>
        <w:t xml:space="preserve">executes daily RMF operations and maintains evidence currency.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System Owner: </w:t>
      </w:r>
      <w:r>
        <w:rPr>
          <w:sz w:val="21"/>
          <w:szCs w:val="21"/>
        </w:rPr>
        <w:t xml:space="preserve">resources remediation and signs milestone commitments.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Enforcement</w:t>
      </w:r>
    </w:p>
    <w:p>
      <w:pPr>
        <w:spacing w:after="100"/>
      </w:pPr>
      <w:r>
        <w:rPr>
          <w:sz w:val="21"/>
          <w:szCs w:val="21"/>
        </w:rPr>
        <w:t xml:space="preserve">Packages that bypass a quality gate are withdrawn from routing regardless of position in the queue. Repeated gate failures by the same program appear on the CISO portfolio review.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v4.0 — 2026-04-01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Consolidated pathway criteria; added Gate 3 reconciliation; aligned template references to current versions. Supersedes all v3.x issues.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2026-07-02T12:38:41.211Z</dcterms:created>
  <dcterms:modified xsi:type="dcterms:W3CDTF">2026-07-02T12:38:41.224Z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