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SCRM / SBOM Framework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CCOE-FWK-SC-011 · v1.6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Engineering Center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v1.6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2026-02-10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2026-08-10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Hardware/Software Inventory v3.0; Master Contractor Cyber Language Library v4.0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SCRM Framework v1.5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Defines supply chain risk management requirements: SBOM delivery and format, component vetting, vendor risk tiers, and integration with acquisition deliverable lists.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SBOM Requirements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Format: SPDX or CycloneDX, machine-readable, delivered with every software delivery and every major version.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Depth: direct and transitive dependencies with version and supplier fields populated; known-unknowns explicitly listed.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Linkage: each SBOM is referenced from the HW/SW inventory (SBOM Ref column) so vulnerability correlation can trace component → system.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Currency: a delivery whose SBOM does not match the delivered binaries fails acceptance.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Component Vetting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New components are checked against the KEV catalog and NVD before first use; components with unresolved critical vulnerabilities require an engineering waiver.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Prohibited-source screening per applicable statutes and DoD guidance is a precondition to acquisition, not a post-award check.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End-of-support components enter the risk register with a replacement plan (see the OT firmware pattern, DR-2026-022).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Vendor Risk Tiers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Tier 1 — components in security-enforcing roles or with privileged access: full vetting, SBOM every release, vendor security attestation annually.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Tier 2 — mission software without privileged roles: SBOM every major release; vetting on adoption and annually.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Tier 3 — commodity/utility software: SBOM on adoption; monitored via vulnerability feeds.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Acquisition Integration</w:t>
      </w:r>
    </w:p>
    <w:p>
      <w:pPr>
        <w:spacing w:after="100"/>
      </w:pPr>
      <w:r>
        <w:rPr>
          <w:sz w:val="21"/>
          <w:szCs w:val="21"/>
        </w:rPr>
        <w:t xml:space="preserve">SBOM delivery, vulnerability disclosure timelines, and authenticated-scan support (ACAS-compatible output, ≤30 days old at delivery) are contract deliverables drawn from the Master Contractor Cyber Language Library. Acceptance criteria live in the contract, not in after-the-fact requests.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Response Integration</w:t>
      </w:r>
    </w:p>
    <w:p>
      <w:pPr>
        <w:spacing w:after="100"/>
      </w:pPr>
      <w:r>
        <w:rPr>
          <w:sz w:val="21"/>
          <w:szCs w:val="21"/>
        </w:rPr>
        <w:t xml:space="preserve">When a new KEV or critical CVE publishes, the Vulnerability Management Cell queries SBOM data first to identify affected systems, then confirms with scanning. SBOM-identified exposure is treated as a validated finding pending scan confirmation.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v1.6 — 2026-02-10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SBOM-first exposure identification added; tier definitions clarified.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2026-07-02T12:38:41.709Z</dcterms:created>
  <dcterms:modified xsi:type="dcterms:W3CDTF">2026-07-02T12:38:41.709Z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